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5D7" w:rsidRPr="00506066" w:rsidRDefault="003B75D7" w:rsidP="003B75D7">
      <w:pPr>
        <w:pStyle w:val="Heading1"/>
        <w:spacing w:line="360" w:lineRule="auto"/>
      </w:pPr>
      <w:bookmarkStart w:id="0" w:name="_Toc231634927"/>
      <w:r>
        <w:t>Yaygınlık ölçütleri</w:t>
      </w:r>
      <w:bookmarkEnd w:id="0"/>
    </w:p>
    <w:p w:rsidR="003B75D7" w:rsidRDefault="003B75D7" w:rsidP="003B75D7">
      <w:pPr>
        <w:spacing w:after="120" w:line="360" w:lineRule="auto"/>
      </w:pPr>
      <w:r w:rsidRPr="00506066">
        <w:t>Amaç: Bu konu sonunda okuyucu</w:t>
      </w:r>
      <w:r>
        <w:t>nun</w:t>
      </w:r>
      <w:r w:rsidRPr="00506066">
        <w:t xml:space="preserve"> </w:t>
      </w:r>
      <w:r>
        <w:t>yaygınlık ölçütleri hakkında bilgi sahibi olması ve SPSS kullanarak yaygınlık ölçütlerini hesaplayabilmesi amaçlanmıştır.</w:t>
      </w:r>
    </w:p>
    <w:p w:rsidR="003B75D7" w:rsidRDefault="003B75D7" w:rsidP="003B75D7">
      <w:pPr>
        <w:spacing w:after="120" w:line="360" w:lineRule="auto"/>
      </w:pPr>
      <w:r w:rsidRPr="00506066">
        <w:t xml:space="preserve">Hedefler: Bu konu sonunda </w:t>
      </w:r>
      <w:r>
        <w:t>okuyucuların</w:t>
      </w:r>
      <w:r w:rsidRPr="00506066">
        <w:t xml:space="preserve"> aşağıdaki hedeflere ulaşması beklenmektedir:</w:t>
      </w:r>
    </w:p>
    <w:p w:rsidR="003B75D7" w:rsidRPr="006F7EC7" w:rsidRDefault="003B75D7" w:rsidP="003B75D7">
      <w:pPr>
        <w:numPr>
          <w:ilvl w:val="0"/>
          <w:numId w:val="1"/>
        </w:numPr>
        <w:spacing w:after="120" w:line="360" w:lineRule="auto"/>
      </w:pPr>
      <w:r w:rsidRPr="006F7EC7">
        <w:t>Yaygınlık ölçütlerini sayabilmek</w:t>
      </w:r>
    </w:p>
    <w:p w:rsidR="003B75D7" w:rsidRPr="006F7EC7" w:rsidRDefault="003B75D7" w:rsidP="003B75D7">
      <w:pPr>
        <w:numPr>
          <w:ilvl w:val="0"/>
          <w:numId w:val="1"/>
        </w:numPr>
        <w:spacing w:after="120" w:line="360" w:lineRule="auto"/>
      </w:pPr>
      <w:r w:rsidRPr="006F7EC7">
        <w:t xml:space="preserve">SPSS kullanarak </w:t>
      </w:r>
    </w:p>
    <w:p w:rsidR="003B75D7" w:rsidRPr="006F7EC7" w:rsidRDefault="003B75D7" w:rsidP="003B75D7">
      <w:pPr>
        <w:numPr>
          <w:ilvl w:val="1"/>
          <w:numId w:val="1"/>
        </w:numPr>
        <w:spacing w:after="120" w:line="360" w:lineRule="auto"/>
      </w:pPr>
      <w:r w:rsidRPr="006F7EC7">
        <w:t>aralık (range)</w:t>
      </w:r>
    </w:p>
    <w:p w:rsidR="003B75D7" w:rsidRPr="006F7EC7" w:rsidRDefault="003B75D7" w:rsidP="003B75D7">
      <w:pPr>
        <w:numPr>
          <w:ilvl w:val="1"/>
          <w:numId w:val="1"/>
        </w:numPr>
        <w:spacing w:after="120" w:line="360" w:lineRule="auto"/>
      </w:pPr>
      <w:r w:rsidRPr="006F7EC7">
        <w:t>persantil</w:t>
      </w:r>
    </w:p>
    <w:p w:rsidR="003B75D7" w:rsidRPr="006F7EC7" w:rsidRDefault="003B75D7" w:rsidP="003B75D7">
      <w:pPr>
        <w:numPr>
          <w:ilvl w:val="1"/>
          <w:numId w:val="1"/>
        </w:numPr>
        <w:spacing w:after="120" w:line="360" w:lineRule="auto"/>
      </w:pPr>
      <w:r w:rsidRPr="006F7EC7">
        <w:t>varyans</w:t>
      </w:r>
    </w:p>
    <w:p w:rsidR="003B75D7" w:rsidRPr="006F7EC7" w:rsidRDefault="003B75D7" w:rsidP="003B75D7">
      <w:pPr>
        <w:numPr>
          <w:ilvl w:val="1"/>
          <w:numId w:val="1"/>
        </w:numPr>
        <w:spacing w:after="120" w:line="360" w:lineRule="auto"/>
      </w:pPr>
      <w:r w:rsidRPr="006F7EC7">
        <w:t>standart sapma hesaplayabilmek</w:t>
      </w:r>
    </w:p>
    <w:p w:rsidR="003B75D7" w:rsidRDefault="003B75D7" w:rsidP="003B75D7">
      <w:pPr>
        <w:numPr>
          <w:ilvl w:val="0"/>
          <w:numId w:val="1"/>
        </w:numPr>
        <w:spacing w:after="120" w:line="360" w:lineRule="auto"/>
        <w:rPr>
          <w:b/>
        </w:rPr>
      </w:pPr>
      <w:r w:rsidRPr="006F7EC7">
        <w:t>Varyans ve standar</w:t>
      </w:r>
      <w:r>
        <w:t>t sapma formülünü söyleyebilmek</w:t>
      </w:r>
      <w:r>
        <w:rPr>
          <w:b/>
        </w:rPr>
        <w:t xml:space="preserve"> </w:t>
      </w:r>
    </w:p>
    <w:p w:rsidR="003B75D7" w:rsidRPr="004E329A" w:rsidRDefault="003B75D7" w:rsidP="003B75D7">
      <w:pPr>
        <w:numPr>
          <w:ilvl w:val="0"/>
          <w:numId w:val="1"/>
        </w:numPr>
        <w:spacing w:after="120" w:line="360" w:lineRule="auto"/>
      </w:pPr>
      <w:r w:rsidRPr="004E329A">
        <w:t>Birey içi ve bireyler arası varyasyonu açıklayabilmek</w:t>
      </w:r>
    </w:p>
    <w:p w:rsidR="003B75D7" w:rsidRDefault="003B75D7" w:rsidP="003B75D7">
      <w:pPr>
        <w:spacing w:after="120" w:line="360" w:lineRule="auto"/>
      </w:pPr>
    </w:p>
    <w:p w:rsidR="003B75D7" w:rsidRDefault="003B75D7" w:rsidP="003B75D7">
      <w:pPr>
        <w:spacing w:after="120" w:line="360" w:lineRule="auto"/>
      </w:pPr>
      <w:r>
        <w:t>Bir numerik veri setinin biri merkezi dağılım diğeri de yaygınlık ölçütü olmak üzere iki özelliğini belirtmemiz halinde verilerimizin yapısını yeterince özetlemiş oluruz. Bir önceki bölümde merkezi dağılım ölçütlerinden bahsedilmişti. Şimdi sıra yaygınlık ölçütlerinde.</w:t>
      </w:r>
    </w:p>
    <w:p w:rsidR="003B75D7" w:rsidRDefault="003B75D7" w:rsidP="003B75D7">
      <w:pPr>
        <w:pStyle w:val="Heading2"/>
      </w:pPr>
      <w:bookmarkStart w:id="1" w:name="_Toc231634928"/>
      <w:r>
        <w:t>Aralık (range)</w:t>
      </w:r>
      <w:bookmarkEnd w:id="1"/>
    </w:p>
    <w:p w:rsidR="003B75D7" w:rsidRDefault="003B75D7" w:rsidP="003B75D7">
      <w:pPr>
        <w:spacing w:after="120" w:line="360" w:lineRule="auto"/>
      </w:pPr>
      <w:r>
        <w:t xml:space="preserve">Verilerimizin en büyük ve en küçük değeri arasındaki farka </w:t>
      </w:r>
      <w:r w:rsidRPr="007A3846">
        <w:rPr>
          <w:b/>
        </w:rPr>
        <w:t>range</w:t>
      </w:r>
      <w:r>
        <w:t xml:space="preserve"> denir. Aralık yerine genelde en küçük (min.) ve en büyük (max.) değerler verilir. Uç değerlerimizin fazla olması halinde aralık ölçütünün yeterince güvenilir olmayacağına dikkat edilmelidir.</w:t>
      </w:r>
    </w:p>
    <w:p w:rsidR="003B75D7" w:rsidRDefault="003B75D7" w:rsidP="003B75D7">
      <w:pPr>
        <w:pStyle w:val="Heading2"/>
      </w:pPr>
      <w:bookmarkStart w:id="2" w:name="_Toc231634929"/>
      <w:r>
        <w:t>Persantil aralıkları</w:t>
      </w:r>
      <w:bookmarkEnd w:id="2"/>
    </w:p>
    <w:p w:rsidR="00F05D41" w:rsidRDefault="003B75D7" w:rsidP="00F05D41">
      <w:pPr>
        <w:spacing w:after="120" w:line="360" w:lineRule="auto"/>
      </w:pPr>
      <w:r>
        <w:t>Verilerimizi küçükten büyüğe doğru sıraladığımızda veri adedinin %1’inin bulunduğu kısma 1. persantil, yüzde 50’sinin bulunduğu sınıra 50. persantil denir.</w:t>
      </w:r>
      <w:r w:rsidR="00F05D41">
        <w:t xml:space="preserve"> </w:t>
      </w:r>
    </w:p>
    <w:p w:rsidR="00F05D41" w:rsidRPr="00F05D41" w:rsidRDefault="00F05D41" w:rsidP="00F05D41">
      <w:pPr>
        <w:spacing w:after="120" w:line="360" w:lineRule="auto"/>
      </w:pPr>
      <w:r w:rsidRPr="00F05D41">
        <w:t>1. Çeyreğin yeri:(n+1)/4</w:t>
      </w:r>
    </w:p>
    <w:p w:rsidR="00F05D41" w:rsidRDefault="00F05D41" w:rsidP="00F05D41">
      <w:pPr>
        <w:spacing w:after="120" w:line="360" w:lineRule="auto"/>
      </w:pPr>
      <w:r w:rsidRPr="00F05D41">
        <w:t>3. çeyreğin yeri=3*1. çeyrek</w:t>
      </w:r>
      <w:r w:rsidR="003B75D7">
        <w:t xml:space="preserve"> </w:t>
      </w:r>
    </w:p>
    <w:p w:rsidR="003B75D7" w:rsidRDefault="003B75D7" w:rsidP="00F05D41">
      <w:pPr>
        <w:spacing w:after="120" w:line="360" w:lineRule="auto"/>
      </w:pPr>
      <w:r>
        <w:t>Örn.:</w:t>
      </w:r>
    </w:p>
    <w:p w:rsidR="003B75D7" w:rsidRDefault="003B75D7" w:rsidP="003B75D7">
      <w:pPr>
        <w:spacing w:after="120" w:line="360" w:lineRule="auto"/>
        <w:ind w:left="708"/>
        <w:rPr>
          <w:i/>
        </w:rPr>
      </w:pPr>
      <w:r w:rsidRPr="00DB5CB2">
        <w:rPr>
          <w:i/>
        </w:rPr>
        <w:t xml:space="preserve">8 bireyin boy ölçümlerinden oluşan bir veri setimiz olsun. </w:t>
      </w:r>
    </w:p>
    <w:tbl>
      <w:tblPr>
        <w:tblW w:w="2421" w:type="dxa"/>
        <w:tblCellMar>
          <w:left w:w="0" w:type="dxa"/>
          <w:right w:w="0" w:type="dxa"/>
        </w:tblCellMar>
        <w:tblLook w:val="04A0"/>
      </w:tblPr>
      <w:tblGrid>
        <w:gridCol w:w="1193"/>
        <w:gridCol w:w="1279"/>
      </w:tblGrid>
      <w:tr w:rsidR="00F05D41" w:rsidRPr="00F05D41" w:rsidTr="00F05D41">
        <w:tc>
          <w:tcPr>
            <w:tcW w:w="11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E52B5" w:rsidRPr="00F05D41" w:rsidRDefault="00F05D41" w:rsidP="00F05D41">
            <w:pPr>
              <w:spacing w:after="120" w:line="360" w:lineRule="auto"/>
              <w:ind w:left="708"/>
              <w:rPr>
                <w:i/>
              </w:rPr>
            </w:pPr>
            <w:r w:rsidRPr="00F05D41">
              <w:rPr>
                <w:b/>
                <w:bCs/>
                <w:i/>
                <w:iCs/>
                <w:sz w:val="22"/>
              </w:rPr>
              <w:lastRenderedPageBreak/>
              <w:t>No</w:t>
            </w:r>
            <w:r w:rsidRPr="00F05D41">
              <w:rPr>
                <w:i/>
                <w:sz w:val="22"/>
              </w:rPr>
              <w:t xml:space="preserve"> </w:t>
            </w:r>
          </w:p>
        </w:tc>
        <w:tc>
          <w:tcPr>
            <w:tcW w:w="12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E52B5" w:rsidRPr="00F05D41" w:rsidRDefault="00DE52B5" w:rsidP="00F05D41">
            <w:pPr>
              <w:spacing w:after="120" w:line="360" w:lineRule="auto"/>
              <w:ind w:left="708"/>
              <w:rPr>
                <w:i/>
              </w:rPr>
            </w:pPr>
            <w:r w:rsidRPr="00DE52B5">
              <w:rPr>
                <w:noProof/>
                <w:lang w:eastAsia="en-US"/>
              </w:rPr>
              <w:pict>
                <v:shapetype id="_x0000_t202" coordsize="21600,21600" o:spt="202" path="m,l,21600r21600,l21600,xe">
                  <v:stroke joinstyle="miter"/>
                  <v:path gradientshapeok="t" o:connecttype="rect"/>
                </v:shapetype>
                <v:shape id="_x0000_s1026" type="#_x0000_t202" style="position:absolute;left:0;text-align:left;margin-left:94.15pt;margin-top:-.6pt;width:278.2pt;height:90.75pt;z-index:251660288;mso-height-percent:200;mso-position-horizontal-relative:text;mso-position-vertical-relative:text;mso-height-percent:200;mso-width-relative:margin;mso-height-relative:margin">
                  <v:textbox style="mso-fit-shape-to-text:t">
                    <w:txbxContent>
                      <w:p w:rsidR="00F05D41" w:rsidRPr="00F05D41" w:rsidRDefault="00810D35" w:rsidP="00F05D41">
                        <w:r>
                          <w:t>Bu veri setinde</w:t>
                        </w:r>
                        <w:r w:rsidR="00F05D41" w:rsidRPr="00F05D41">
                          <w:t xml:space="preserve"> 1. çeyreğin yeri</w:t>
                        </w:r>
                      </w:p>
                      <w:p w:rsidR="00F05D41" w:rsidRPr="00F05D41" w:rsidRDefault="00F05D41" w:rsidP="00F05D41">
                        <w:r w:rsidRPr="00F05D41">
                          <w:t>(8+1)/4=2.25. değer</w:t>
                        </w:r>
                        <w:r>
                          <w:t>. Yani 1. Çeyrek ikinci ve üçüncü değerler arasında yer almaktadır.</w:t>
                        </w:r>
                        <w:r w:rsidR="00810D35">
                          <w:t xml:space="preserve"> Tam değerini hesaplamak için 2. Değer ile 3. Değerin arasındaki farkı 0,25 ile çarpıp 2. Değere eklememiz gerekir. </w:t>
                        </w:r>
                      </w:p>
                      <w:p w:rsidR="00F05D41" w:rsidRPr="00F05D41" w:rsidRDefault="00F05D41" w:rsidP="00F05D41">
                        <w:r w:rsidRPr="00F05D41">
                          <w:t>1. çeyrek=148+(154-148)</w:t>
                        </w:r>
                        <w:r w:rsidR="00810D35">
                          <w:t>*</w:t>
                        </w:r>
                        <w:r w:rsidRPr="00F05D41">
                          <w:t>0,25=150</w:t>
                        </w:r>
                      </w:p>
                      <w:p w:rsidR="00F05D41" w:rsidRPr="00F05D41" w:rsidRDefault="00F05D41" w:rsidP="00F05D41">
                        <w:r w:rsidRPr="00F05D41">
                          <w:t>3. Çeyreğin yeri=3*1. çeyreğin yeri=3*2,25=6.75.değer</w:t>
                        </w:r>
                      </w:p>
                      <w:p w:rsidR="00F05D41" w:rsidRDefault="00F05D41">
                        <w:r w:rsidRPr="00F05D41">
                          <w:t>3. çeyrek=170+(176-170)*0.75=175</w:t>
                        </w:r>
                      </w:p>
                    </w:txbxContent>
                  </v:textbox>
                </v:shape>
              </w:pict>
            </w:r>
            <w:r w:rsidR="00F05D41" w:rsidRPr="00F05D41">
              <w:rPr>
                <w:b/>
                <w:bCs/>
                <w:i/>
                <w:iCs/>
                <w:sz w:val="22"/>
              </w:rPr>
              <w:t>Boy</w:t>
            </w:r>
            <w:r w:rsidR="00F05D41" w:rsidRPr="00F05D41">
              <w:rPr>
                <w:i/>
                <w:sz w:val="22"/>
              </w:rPr>
              <w:t xml:space="preserve"> </w:t>
            </w:r>
          </w:p>
        </w:tc>
      </w:tr>
      <w:tr w:rsidR="00F05D41" w:rsidRPr="00F05D41" w:rsidTr="00F05D41">
        <w:tc>
          <w:tcPr>
            <w:tcW w:w="11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E52B5" w:rsidRPr="00F05D41" w:rsidRDefault="00F05D41" w:rsidP="00F05D41">
            <w:pPr>
              <w:spacing w:after="120" w:line="360" w:lineRule="auto"/>
              <w:ind w:left="708"/>
              <w:rPr>
                <w:i/>
              </w:rPr>
            </w:pPr>
            <w:r w:rsidRPr="00F05D41">
              <w:rPr>
                <w:i/>
                <w:sz w:val="22"/>
              </w:rPr>
              <w:t xml:space="preserve">1 </w:t>
            </w:r>
          </w:p>
        </w:tc>
        <w:tc>
          <w:tcPr>
            <w:tcW w:w="12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E52B5" w:rsidRPr="00F05D41" w:rsidRDefault="00F05D41" w:rsidP="00F05D41">
            <w:pPr>
              <w:spacing w:after="120" w:line="360" w:lineRule="auto"/>
              <w:ind w:left="708"/>
              <w:rPr>
                <w:i/>
              </w:rPr>
            </w:pPr>
            <w:r w:rsidRPr="00F05D41">
              <w:rPr>
                <w:i/>
                <w:iCs/>
                <w:sz w:val="22"/>
              </w:rPr>
              <w:t>145</w:t>
            </w:r>
            <w:r w:rsidRPr="00F05D41">
              <w:rPr>
                <w:i/>
                <w:sz w:val="22"/>
              </w:rPr>
              <w:t xml:space="preserve"> </w:t>
            </w:r>
          </w:p>
        </w:tc>
      </w:tr>
      <w:tr w:rsidR="00F05D41" w:rsidRPr="00F05D41" w:rsidTr="00F05D41">
        <w:tc>
          <w:tcPr>
            <w:tcW w:w="11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E52B5" w:rsidRPr="00F05D41" w:rsidRDefault="00F05D41" w:rsidP="00F05D41">
            <w:pPr>
              <w:spacing w:after="120" w:line="360" w:lineRule="auto"/>
              <w:ind w:left="708"/>
              <w:rPr>
                <w:i/>
              </w:rPr>
            </w:pPr>
            <w:r w:rsidRPr="00F05D41">
              <w:rPr>
                <w:i/>
                <w:sz w:val="22"/>
              </w:rPr>
              <w:t xml:space="preserve">2 </w:t>
            </w:r>
          </w:p>
        </w:tc>
        <w:tc>
          <w:tcPr>
            <w:tcW w:w="12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E52B5" w:rsidRPr="00F05D41" w:rsidRDefault="00F05D41" w:rsidP="00F05D41">
            <w:pPr>
              <w:spacing w:after="120" w:line="360" w:lineRule="auto"/>
              <w:ind w:left="708"/>
              <w:rPr>
                <w:i/>
              </w:rPr>
            </w:pPr>
            <w:r w:rsidRPr="00F05D41">
              <w:rPr>
                <w:i/>
                <w:iCs/>
                <w:sz w:val="22"/>
              </w:rPr>
              <w:t>148</w:t>
            </w:r>
            <w:r w:rsidRPr="00F05D41">
              <w:rPr>
                <w:i/>
                <w:sz w:val="22"/>
              </w:rPr>
              <w:t xml:space="preserve"> </w:t>
            </w:r>
          </w:p>
        </w:tc>
      </w:tr>
      <w:tr w:rsidR="00F05D41" w:rsidRPr="00F05D41" w:rsidTr="00F05D41">
        <w:tc>
          <w:tcPr>
            <w:tcW w:w="11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E52B5" w:rsidRPr="00F05D41" w:rsidRDefault="00F05D41" w:rsidP="00F05D41">
            <w:pPr>
              <w:spacing w:after="120" w:line="360" w:lineRule="auto"/>
              <w:ind w:left="708"/>
              <w:rPr>
                <w:i/>
              </w:rPr>
            </w:pPr>
            <w:r w:rsidRPr="00F05D41">
              <w:rPr>
                <w:i/>
                <w:sz w:val="22"/>
              </w:rPr>
              <w:t xml:space="preserve">3 </w:t>
            </w:r>
          </w:p>
        </w:tc>
        <w:tc>
          <w:tcPr>
            <w:tcW w:w="12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E52B5" w:rsidRPr="00F05D41" w:rsidRDefault="00F05D41" w:rsidP="00F05D41">
            <w:pPr>
              <w:spacing w:after="120" w:line="360" w:lineRule="auto"/>
              <w:ind w:left="708"/>
              <w:rPr>
                <w:i/>
              </w:rPr>
            </w:pPr>
            <w:r w:rsidRPr="00F05D41">
              <w:rPr>
                <w:i/>
                <w:iCs/>
                <w:sz w:val="22"/>
              </w:rPr>
              <w:t>154</w:t>
            </w:r>
            <w:r w:rsidRPr="00F05D41">
              <w:rPr>
                <w:i/>
                <w:sz w:val="22"/>
              </w:rPr>
              <w:t xml:space="preserve"> </w:t>
            </w:r>
          </w:p>
        </w:tc>
      </w:tr>
      <w:tr w:rsidR="00F05D41" w:rsidRPr="00F05D41" w:rsidTr="00F05D41">
        <w:tc>
          <w:tcPr>
            <w:tcW w:w="11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E52B5" w:rsidRPr="00F05D41" w:rsidRDefault="00F05D41" w:rsidP="00F05D41">
            <w:pPr>
              <w:spacing w:after="120" w:line="360" w:lineRule="auto"/>
              <w:ind w:left="708"/>
              <w:rPr>
                <w:i/>
              </w:rPr>
            </w:pPr>
            <w:r w:rsidRPr="00F05D41">
              <w:rPr>
                <w:i/>
                <w:sz w:val="22"/>
              </w:rPr>
              <w:t xml:space="preserve">4 </w:t>
            </w:r>
          </w:p>
        </w:tc>
        <w:tc>
          <w:tcPr>
            <w:tcW w:w="12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E52B5" w:rsidRPr="00F05D41" w:rsidRDefault="00F05D41" w:rsidP="00F05D41">
            <w:pPr>
              <w:spacing w:after="120" w:line="360" w:lineRule="auto"/>
              <w:ind w:left="708"/>
              <w:rPr>
                <w:i/>
              </w:rPr>
            </w:pPr>
            <w:r w:rsidRPr="00F05D41">
              <w:rPr>
                <w:i/>
                <w:iCs/>
                <w:sz w:val="22"/>
              </w:rPr>
              <w:t>160</w:t>
            </w:r>
            <w:r w:rsidRPr="00F05D41">
              <w:rPr>
                <w:i/>
                <w:sz w:val="22"/>
              </w:rPr>
              <w:t xml:space="preserve"> </w:t>
            </w:r>
          </w:p>
        </w:tc>
      </w:tr>
      <w:tr w:rsidR="00F05D41" w:rsidRPr="00F05D41" w:rsidTr="00F05D41">
        <w:tc>
          <w:tcPr>
            <w:tcW w:w="11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E52B5" w:rsidRPr="00F05D41" w:rsidRDefault="00F05D41" w:rsidP="00F05D41">
            <w:pPr>
              <w:spacing w:after="120" w:line="360" w:lineRule="auto"/>
              <w:ind w:left="708"/>
              <w:rPr>
                <w:i/>
              </w:rPr>
            </w:pPr>
            <w:r w:rsidRPr="00F05D41">
              <w:rPr>
                <w:i/>
                <w:sz w:val="22"/>
              </w:rPr>
              <w:t xml:space="preserve">5 </w:t>
            </w:r>
          </w:p>
        </w:tc>
        <w:tc>
          <w:tcPr>
            <w:tcW w:w="12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E52B5" w:rsidRPr="00F05D41" w:rsidRDefault="00F05D41" w:rsidP="00F05D41">
            <w:pPr>
              <w:spacing w:after="120" w:line="360" w:lineRule="auto"/>
              <w:ind w:left="708"/>
              <w:rPr>
                <w:i/>
              </w:rPr>
            </w:pPr>
            <w:r w:rsidRPr="00F05D41">
              <w:rPr>
                <w:i/>
                <w:iCs/>
                <w:sz w:val="22"/>
              </w:rPr>
              <w:t>166</w:t>
            </w:r>
            <w:r w:rsidRPr="00F05D41">
              <w:rPr>
                <w:i/>
                <w:sz w:val="22"/>
              </w:rPr>
              <w:t xml:space="preserve"> </w:t>
            </w:r>
          </w:p>
        </w:tc>
      </w:tr>
      <w:tr w:rsidR="00F05D41" w:rsidRPr="00F05D41" w:rsidTr="00F05D41">
        <w:tc>
          <w:tcPr>
            <w:tcW w:w="11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E52B5" w:rsidRPr="00F05D41" w:rsidRDefault="00F05D41" w:rsidP="00F05D41">
            <w:pPr>
              <w:spacing w:after="120" w:line="360" w:lineRule="auto"/>
              <w:ind w:left="708"/>
              <w:rPr>
                <w:i/>
              </w:rPr>
            </w:pPr>
            <w:r w:rsidRPr="00F05D41">
              <w:rPr>
                <w:i/>
                <w:sz w:val="22"/>
              </w:rPr>
              <w:t xml:space="preserve">6 </w:t>
            </w:r>
          </w:p>
        </w:tc>
        <w:tc>
          <w:tcPr>
            <w:tcW w:w="12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E52B5" w:rsidRPr="00F05D41" w:rsidRDefault="00F05D41" w:rsidP="00F05D41">
            <w:pPr>
              <w:spacing w:after="120" w:line="360" w:lineRule="auto"/>
              <w:ind w:left="708"/>
              <w:rPr>
                <w:i/>
              </w:rPr>
            </w:pPr>
            <w:r w:rsidRPr="00F05D41">
              <w:rPr>
                <w:i/>
                <w:iCs/>
                <w:sz w:val="22"/>
              </w:rPr>
              <w:t>170</w:t>
            </w:r>
            <w:r w:rsidRPr="00F05D41">
              <w:rPr>
                <w:i/>
                <w:sz w:val="22"/>
              </w:rPr>
              <w:t xml:space="preserve"> </w:t>
            </w:r>
          </w:p>
        </w:tc>
      </w:tr>
      <w:tr w:rsidR="00F05D41" w:rsidRPr="00F05D41" w:rsidTr="00F05D41">
        <w:tc>
          <w:tcPr>
            <w:tcW w:w="11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E52B5" w:rsidRPr="00F05D41" w:rsidRDefault="00F05D41" w:rsidP="00F05D41">
            <w:pPr>
              <w:spacing w:after="120" w:line="360" w:lineRule="auto"/>
              <w:ind w:left="708"/>
              <w:rPr>
                <w:i/>
              </w:rPr>
            </w:pPr>
            <w:r w:rsidRPr="00F05D41">
              <w:rPr>
                <w:i/>
                <w:sz w:val="22"/>
              </w:rPr>
              <w:t xml:space="preserve">7 </w:t>
            </w:r>
          </w:p>
        </w:tc>
        <w:tc>
          <w:tcPr>
            <w:tcW w:w="12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E52B5" w:rsidRPr="00F05D41" w:rsidRDefault="00F05D41" w:rsidP="00F05D41">
            <w:pPr>
              <w:spacing w:after="120" w:line="360" w:lineRule="auto"/>
              <w:ind w:left="708"/>
              <w:rPr>
                <w:i/>
              </w:rPr>
            </w:pPr>
            <w:r w:rsidRPr="00F05D41">
              <w:rPr>
                <w:i/>
                <w:iCs/>
                <w:sz w:val="22"/>
              </w:rPr>
              <w:t>176</w:t>
            </w:r>
            <w:r w:rsidRPr="00F05D41">
              <w:rPr>
                <w:i/>
                <w:sz w:val="22"/>
              </w:rPr>
              <w:t xml:space="preserve"> </w:t>
            </w:r>
          </w:p>
        </w:tc>
      </w:tr>
      <w:tr w:rsidR="00F05D41" w:rsidRPr="00F05D41" w:rsidTr="00F05D41">
        <w:tc>
          <w:tcPr>
            <w:tcW w:w="11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E52B5" w:rsidRPr="00F05D41" w:rsidRDefault="00F05D41" w:rsidP="00F05D41">
            <w:pPr>
              <w:spacing w:after="120" w:line="360" w:lineRule="auto"/>
              <w:ind w:left="708"/>
              <w:rPr>
                <w:i/>
              </w:rPr>
            </w:pPr>
            <w:r w:rsidRPr="00F05D41">
              <w:rPr>
                <w:i/>
                <w:sz w:val="22"/>
              </w:rPr>
              <w:t xml:space="preserve">8 </w:t>
            </w:r>
          </w:p>
        </w:tc>
        <w:tc>
          <w:tcPr>
            <w:tcW w:w="12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E52B5" w:rsidRPr="00F05D41" w:rsidRDefault="00F05D41" w:rsidP="00F05D41">
            <w:pPr>
              <w:spacing w:after="120" w:line="360" w:lineRule="auto"/>
              <w:ind w:left="708"/>
              <w:rPr>
                <w:i/>
              </w:rPr>
            </w:pPr>
            <w:r w:rsidRPr="00F05D41">
              <w:rPr>
                <w:i/>
                <w:iCs/>
                <w:sz w:val="22"/>
              </w:rPr>
              <w:t>182</w:t>
            </w:r>
            <w:r w:rsidRPr="00F05D41">
              <w:rPr>
                <w:i/>
                <w:sz w:val="22"/>
              </w:rPr>
              <w:t xml:space="preserve"> </w:t>
            </w:r>
          </w:p>
        </w:tc>
      </w:tr>
    </w:tbl>
    <w:p w:rsidR="00F05D41" w:rsidRDefault="00F05D41" w:rsidP="003B75D7">
      <w:pPr>
        <w:spacing w:after="120" w:line="360" w:lineRule="auto"/>
        <w:ind w:left="708"/>
        <w:rPr>
          <w:i/>
        </w:rPr>
      </w:pPr>
    </w:p>
    <w:p w:rsidR="003B75D7" w:rsidRDefault="003B75D7" w:rsidP="003B75D7">
      <w:pPr>
        <w:spacing w:after="120" w:line="360" w:lineRule="auto"/>
      </w:pPr>
      <w:r w:rsidRPr="006A5C3C">
        <w:t xml:space="preserve">Tam %50 sınırındaki değere “ortanca” denir. 25-75. Persantiller arasına ise </w:t>
      </w:r>
      <w:r w:rsidRPr="006A5C3C">
        <w:rPr>
          <w:b/>
        </w:rPr>
        <w:t xml:space="preserve">interquartile range </w:t>
      </w:r>
      <w:r w:rsidRPr="006A5C3C">
        <w:t xml:space="preserve">(dörtlük çeyrek değerler genişliği-DÇDG) denir. DÇDG, veriler sıralandığında orta kısımda kalan </w:t>
      </w:r>
      <w:r w:rsidR="00853811">
        <w:t>%50 lik bölümü gösterir. Verimiz</w:t>
      </w:r>
      <w:r w:rsidRPr="006A5C3C">
        <w:t xml:space="preserve">in toplumu temsil edecek kadar büyük bir örneklemden gelmesi halinde her iki uçtaki %2,5’lik kısmın içerisinde kalan değerlere </w:t>
      </w:r>
      <w:r w:rsidRPr="006A5C3C">
        <w:rPr>
          <w:b/>
        </w:rPr>
        <w:t>referans aralığı</w:t>
      </w:r>
      <w:r w:rsidRPr="006A5C3C">
        <w:t xml:space="preserve">, </w:t>
      </w:r>
      <w:r w:rsidRPr="006A5C3C">
        <w:rPr>
          <w:b/>
        </w:rPr>
        <w:t>referans genişliği</w:t>
      </w:r>
      <w:r w:rsidRPr="006A5C3C">
        <w:t xml:space="preserve"> veya </w:t>
      </w:r>
      <w:r w:rsidRPr="006A5C3C">
        <w:rPr>
          <w:b/>
        </w:rPr>
        <w:t>normal aralık</w:t>
      </w:r>
      <w:r w:rsidRPr="006A5C3C">
        <w:t xml:space="preserve"> denir. Laboratuvar vs. ölçümlerde değerimizin toplumla karşılaştırıldığında normal olup olmadığına bu aralığa bakarak karar veririz. </w:t>
      </w:r>
    </w:p>
    <w:p w:rsidR="003B75D7" w:rsidRDefault="003B75D7" w:rsidP="003B75D7">
      <w:pPr>
        <w:pStyle w:val="Heading2"/>
      </w:pPr>
      <w:bookmarkStart w:id="3" w:name="_Toc231634930"/>
      <w:r>
        <w:t>Varyans</w:t>
      </w:r>
      <w:bookmarkEnd w:id="3"/>
    </w:p>
    <w:p w:rsidR="003B75D7" w:rsidRDefault="003B75D7" w:rsidP="003B75D7">
      <w:pPr>
        <w:spacing w:after="120" w:line="360" w:lineRule="auto"/>
      </w:pPr>
      <w:r>
        <w:t xml:space="preserve">Verilerin dağılımını ölçmenin bir yolu, her bir gözlemin artimetik ortalamadan ne kadar sapma gösterdiğine bakmaktır. Elde edeceğimiz değerin ortalamasını alamayız zira artı taraftakiler eksilerle yaklaşık aynı olacağından birbirini götürür. Bunun yerine her bir değerin aritmetik ortalamadan olan uzaklığının karesini alarak bir hesap yaparız. Bu değerleri toplar ve (örneklem sayısı [n]-1)’e böleriz. Buna </w:t>
      </w:r>
      <w:r w:rsidRPr="00747BF8">
        <w:rPr>
          <w:b/>
        </w:rPr>
        <w:t>varyans</w:t>
      </w:r>
      <w:r>
        <w:t xml:space="preserve"> hesabı denir. Varyans </w:t>
      </w:r>
      <w:r w:rsidRPr="00747BF8">
        <w:rPr>
          <w:i/>
        </w:rPr>
        <w:t>s</w:t>
      </w:r>
      <w:r w:rsidRPr="00747BF8">
        <w:rPr>
          <w:i/>
          <w:vertAlign w:val="superscript"/>
        </w:rPr>
        <w:t>2</w:t>
      </w:r>
      <w:r>
        <w:t xml:space="preserve"> ile gösterilir.</w:t>
      </w:r>
    </w:p>
    <w:p w:rsidR="003B75D7" w:rsidRDefault="003B75D7" w:rsidP="003B75D7">
      <w:pPr>
        <w:spacing w:after="120" w:line="360" w:lineRule="auto"/>
      </w:pPr>
      <w:r>
        <w:rPr>
          <w:noProof/>
          <w:lang w:val="en-US" w:eastAsia="en-US"/>
        </w:rPr>
        <w:drawing>
          <wp:inline distT="0" distB="0" distL="0" distR="0">
            <wp:extent cx="1190625" cy="495300"/>
            <wp:effectExtent l="1905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190625" cy="495300"/>
                    </a:xfrm>
                    <a:prstGeom prst="rect">
                      <a:avLst/>
                    </a:prstGeom>
                    <a:noFill/>
                    <a:ln w="9525">
                      <a:noFill/>
                      <a:miter lim="800000"/>
                      <a:headEnd/>
                      <a:tailEnd/>
                    </a:ln>
                  </pic:spPr>
                </pic:pic>
              </a:graphicData>
            </a:graphic>
          </wp:inline>
        </w:drawing>
      </w:r>
    </w:p>
    <w:p w:rsidR="0064498E" w:rsidRDefault="003B75D7" w:rsidP="0064498E">
      <w:pPr>
        <w:spacing w:after="120" w:line="360" w:lineRule="auto"/>
      </w:pPr>
      <w:r>
        <w:t>Varyansı hesaplarken aritmetik ortalamadan farklı olarak (n-1)’e bölüyoruz. Bunun nedeni, evrenin tamanında değil, belli bir örneklem üzerinde çalışmamızdır. Bu durumda teorik olarak toplum değerine yakın bir vaysans elde ettiğimiz gösterilmiştir.</w:t>
      </w:r>
      <w:bookmarkStart w:id="4" w:name="_Toc23163493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41"/>
        <w:gridCol w:w="619"/>
        <w:gridCol w:w="619"/>
        <w:gridCol w:w="810"/>
        <w:gridCol w:w="810"/>
        <w:gridCol w:w="619"/>
        <w:gridCol w:w="810"/>
        <w:gridCol w:w="619"/>
        <w:gridCol w:w="619"/>
        <w:gridCol w:w="810"/>
        <w:gridCol w:w="810"/>
        <w:gridCol w:w="1316"/>
      </w:tblGrid>
      <w:tr w:rsidR="0064498E" w:rsidRPr="0064498E" w:rsidTr="0064498E">
        <w:trPr>
          <w:trHeight w:val="765"/>
        </w:trPr>
        <w:tc>
          <w:tcPr>
            <w:tcW w:w="352" w:type="pct"/>
            <w:shd w:val="clear" w:color="auto" w:fill="4F81BD"/>
            <w:tcMar>
              <w:top w:w="15" w:type="dxa"/>
              <w:left w:w="15" w:type="dxa"/>
              <w:bottom w:w="0" w:type="dxa"/>
              <w:right w:w="15" w:type="dxa"/>
            </w:tcMar>
            <w:hideMark/>
          </w:tcPr>
          <w:p w:rsidR="00000000" w:rsidRPr="0064498E" w:rsidRDefault="0064498E" w:rsidP="0064498E">
            <w:pPr>
              <w:spacing w:after="120" w:line="360" w:lineRule="auto"/>
              <w:rPr>
                <w:color w:val="FFFFFF" w:themeColor="background1"/>
                <w:lang w:val="en-US"/>
              </w:rPr>
            </w:pPr>
            <w:r w:rsidRPr="0064498E">
              <w:rPr>
                <w:b/>
                <w:bCs/>
                <w:color w:val="FFFFFF" w:themeColor="background1"/>
                <w:lang w:val="en-US"/>
              </w:rPr>
              <w:lastRenderedPageBreak/>
              <w:t xml:space="preserve">No </w:t>
            </w:r>
          </w:p>
        </w:tc>
        <w:tc>
          <w:tcPr>
            <w:tcW w:w="340" w:type="pct"/>
            <w:shd w:val="clear" w:color="auto" w:fill="4F81BD"/>
            <w:tcMar>
              <w:top w:w="15" w:type="dxa"/>
              <w:left w:w="15" w:type="dxa"/>
              <w:bottom w:w="0" w:type="dxa"/>
              <w:right w:w="15" w:type="dxa"/>
            </w:tcMar>
            <w:hideMark/>
          </w:tcPr>
          <w:p w:rsidR="00000000" w:rsidRPr="0064498E" w:rsidRDefault="0064498E" w:rsidP="0064498E">
            <w:pPr>
              <w:spacing w:after="120" w:line="360" w:lineRule="auto"/>
              <w:rPr>
                <w:color w:val="FFFFFF" w:themeColor="background1"/>
                <w:lang w:val="en-US"/>
              </w:rPr>
            </w:pPr>
            <w:r w:rsidRPr="0064498E">
              <w:rPr>
                <w:b/>
                <w:bCs/>
                <w:color w:val="FFFFFF" w:themeColor="background1"/>
                <w:lang w:val="en-US"/>
              </w:rPr>
              <w:t>1</w:t>
            </w:r>
          </w:p>
        </w:tc>
        <w:tc>
          <w:tcPr>
            <w:tcW w:w="340" w:type="pct"/>
            <w:shd w:val="clear" w:color="auto" w:fill="4F81BD"/>
            <w:tcMar>
              <w:top w:w="15" w:type="dxa"/>
              <w:left w:w="15" w:type="dxa"/>
              <w:bottom w:w="0" w:type="dxa"/>
              <w:right w:w="15" w:type="dxa"/>
            </w:tcMar>
            <w:hideMark/>
          </w:tcPr>
          <w:p w:rsidR="00000000" w:rsidRPr="0064498E" w:rsidRDefault="0064498E" w:rsidP="0064498E">
            <w:pPr>
              <w:spacing w:after="120" w:line="360" w:lineRule="auto"/>
              <w:rPr>
                <w:color w:val="FFFFFF" w:themeColor="background1"/>
                <w:lang w:val="en-US"/>
              </w:rPr>
            </w:pPr>
            <w:r w:rsidRPr="0064498E">
              <w:rPr>
                <w:b/>
                <w:bCs/>
                <w:color w:val="FFFFFF" w:themeColor="background1"/>
                <w:lang w:val="en-US"/>
              </w:rPr>
              <w:t>2</w:t>
            </w:r>
          </w:p>
        </w:tc>
        <w:tc>
          <w:tcPr>
            <w:tcW w:w="445" w:type="pct"/>
            <w:shd w:val="clear" w:color="auto" w:fill="4F81BD"/>
            <w:tcMar>
              <w:top w:w="15" w:type="dxa"/>
              <w:left w:w="15" w:type="dxa"/>
              <w:bottom w:w="0" w:type="dxa"/>
              <w:right w:w="15" w:type="dxa"/>
            </w:tcMar>
            <w:hideMark/>
          </w:tcPr>
          <w:p w:rsidR="00000000" w:rsidRPr="0064498E" w:rsidRDefault="0064498E" w:rsidP="0064498E">
            <w:pPr>
              <w:spacing w:after="120" w:line="360" w:lineRule="auto"/>
              <w:rPr>
                <w:color w:val="FFFFFF" w:themeColor="background1"/>
                <w:lang w:val="en-US"/>
              </w:rPr>
            </w:pPr>
            <w:r w:rsidRPr="0064498E">
              <w:rPr>
                <w:b/>
                <w:bCs/>
                <w:color w:val="FFFFFF" w:themeColor="background1"/>
                <w:lang w:val="en-US"/>
              </w:rPr>
              <w:t>3</w:t>
            </w:r>
          </w:p>
        </w:tc>
        <w:tc>
          <w:tcPr>
            <w:tcW w:w="445" w:type="pct"/>
            <w:shd w:val="clear" w:color="auto" w:fill="4F81BD"/>
            <w:tcMar>
              <w:top w:w="15" w:type="dxa"/>
              <w:left w:w="15" w:type="dxa"/>
              <w:bottom w:w="0" w:type="dxa"/>
              <w:right w:w="15" w:type="dxa"/>
            </w:tcMar>
            <w:hideMark/>
          </w:tcPr>
          <w:p w:rsidR="00000000" w:rsidRPr="0064498E" w:rsidRDefault="0064498E" w:rsidP="0064498E">
            <w:pPr>
              <w:spacing w:after="120" w:line="360" w:lineRule="auto"/>
              <w:rPr>
                <w:color w:val="FFFFFF" w:themeColor="background1"/>
                <w:lang w:val="en-US"/>
              </w:rPr>
            </w:pPr>
            <w:r w:rsidRPr="0064498E">
              <w:rPr>
                <w:b/>
                <w:bCs/>
                <w:color w:val="FFFFFF" w:themeColor="background1"/>
                <w:lang w:val="en-US"/>
              </w:rPr>
              <w:t>4</w:t>
            </w:r>
          </w:p>
        </w:tc>
        <w:tc>
          <w:tcPr>
            <w:tcW w:w="340" w:type="pct"/>
            <w:shd w:val="clear" w:color="auto" w:fill="4F81BD"/>
            <w:tcMar>
              <w:top w:w="15" w:type="dxa"/>
              <w:left w:w="15" w:type="dxa"/>
              <w:bottom w:w="0" w:type="dxa"/>
              <w:right w:w="15" w:type="dxa"/>
            </w:tcMar>
            <w:hideMark/>
          </w:tcPr>
          <w:p w:rsidR="00000000" w:rsidRPr="0064498E" w:rsidRDefault="0064498E" w:rsidP="0064498E">
            <w:pPr>
              <w:spacing w:after="120" w:line="360" w:lineRule="auto"/>
              <w:rPr>
                <w:color w:val="FFFFFF" w:themeColor="background1"/>
                <w:lang w:val="en-US"/>
              </w:rPr>
            </w:pPr>
            <w:r w:rsidRPr="0064498E">
              <w:rPr>
                <w:b/>
                <w:bCs/>
                <w:color w:val="FFFFFF" w:themeColor="background1"/>
                <w:lang w:val="en-US"/>
              </w:rPr>
              <w:t>5</w:t>
            </w:r>
          </w:p>
        </w:tc>
        <w:tc>
          <w:tcPr>
            <w:tcW w:w="445" w:type="pct"/>
            <w:shd w:val="clear" w:color="auto" w:fill="4F81BD"/>
            <w:tcMar>
              <w:top w:w="15" w:type="dxa"/>
              <w:left w:w="15" w:type="dxa"/>
              <w:bottom w:w="0" w:type="dxa"/>
              <w:right w:w="15" w:type="dxa"/>
            </w:tcMar>
            <w:hideMark/>
          </w:tcPr>
          <w:p w:rsidR="00000000" w:rsidRPr="0064498E" w:rsidRDefault="0064498E" w:rsidP="0064498E">
            <w:pPr>
              <w:spacing w:after="120" w:line="360" w:lineRule="auto"/>
              <w:rPr>
                <w:color w:val="FFFFFF" w:themeColor="background1"/>
                <w:lang w:val="en-US"/>
              </w:rPr>
            </w:pPr>
            <w:r w:rsidRPr="0064498E">
              <w:rPr>
                <w:b/>
                <w:bCs/>
                <w:color w:val="FFFFFF" w:themeColor="background1"/>
                <w:lang w:val="en-US"/>
              </w:rPr>
              <w:t>6</w:t>
            </w:r>
          </w:p>
        </w:tc>
        <w:tc>
          <w:tcPr>
            <w:tcW w:w="340" w:type="pct"/>
            <w:shd w:val="clear" w:color="auto" w:fill="4F81BD"/>
            <w:tcMar>
              <w:top w:w="15" w:type="dxa"/>
              <w:left w:w="15" w:type="dxa"/>
              <w:bottom w:w="0" w:type="dxa"/>
              <w:right w:w="15" w:type="dxa"/>
            </w:tcMar>
            <w:hideMark/>
          </w:tcPr>
          <w:p w:rsidR="00000000" w:rsidRPr="0064498E" w:rsidRDefault="0064498E" w:rsidP="0064498E">
            <w:pPr>
              <w:spacing w:after="120" w:line="360" w:lineRule="auto"/>
              <w:rPr>
                <w:color w:val="FFFFFF" w:themeColor="background1"/>
                <w:lang w:val="en-US"/>
              </w:rPr>
            </w:pPr>
            <w:r w:rsidRPr="0064498E">
              <w:rPr>
                <w:b/>
                <w:bCs/>
                <w:color w:val="FFFFFF" w:themeColor="background1"/>
                <w:lang w:val="en-US"/>
              </w:rPr>
              <w:t>7</w:t>
            </w:r>
          </w:p>
        </w:tc>
        <w:tc>
          <w:tcPr>
            <w:tcW w:w="340" w:type="pct"/>
            <w:shd w:val="clear" w:color="auto" w:fill="4F81BD"/>
            <w:tcMar>
              <w:top w:w="15" w:type="dxa"/>
              <w:left w:w="15" w:type="dxa"/>
              <w:bottom w:w="0" w:type="dxa"/>
              <w:right w:w="15" w:type="dxa"/>
            </w:tcMar>
            <w:hideMark/>
          </w:tcPr>
          <w:p w:rsidR="00000000" w:rsidRPr="0064498E" w:rsidRDefault="0064498E" w:rsidP="0064498E">
            <w:pPr>
              <w:spacing w:after="120" w:line="360" w:lineRule="auto"/>
              <w:rPr>
                <w:color w:val="FFFFFF" w:themeColor="background1"/>
                <w:lang w:val="en-US"/>
              </w:rPr>
            </w:pPr>
            <w:r w:rsidRPr="0064498E">
              <w:rPr>
                <w:b/>
                <w:bCs/>
                <w:color w:val="FFFFFF" w:themeColor="background1"/>
                <w:lang w:val="en-US"/>
              </w:rPr>
              <w:t>8</w:t>
            </w:r>
          </w:p>
        </w:tc>
        <w:tc>
          <w:tcPr>
            <w:tcW w:w="445" w:type="pct"/>
            <w:shd w:val="clear" w:color="auto" w:fill="4F81BD"/>
            <w:tcMar>
              <w:top w:w="15" w:type="dxa"/>
              <w:left w:w="15" w:type="dxa"/>
              <w:bottom w:w="0" w:type="dxa"/>
              <w:right w:w="15" w:type="dxa"/>
            </w:tcMar>
            <w:hideMark/>
          </w:tcPr>
          <w:p w:rsidR="00000000" w:rsidRPr="0064498E" w:rsidRDefault="0064498E" w:rsidP="0064498E">
            <w:pPr>
              <w:spacing w:after="120" w:line="360" w:lineRule="auto"/>
              <w:rPr>
                <w:color w:val="FFFFFF" w:themeColor="background1"/>
                <w:lang w:val="en-US"/>
              </w:rPr>
            </w:pPr>
            <w:r w:rsidRPr="0064498E">
              <w:rPr>
                <w:b/>
                <w:bCs/>
                <w:color w:val="FFFFFF" w:themeColor="background1"/>
                <w:lang w:val="en-US"/>
              </w:rPr>
              <w:t>9</w:t>
            </w:r>
          </w:p>
        </w:tc>
        <w:tc>
          <w:tcPr>
            <w:tcW w:w="445" w:type="pct"/>
            <w:shd w:val="clear" w:color="auto" w:fill="4F81BD"/>
            <w:tcMar>
              <w:top w:w="15" w:type="dxa"/>
              <w:left w:w="15" w:type="dxa"/>
              <w:bottom w:w="0" w:type="dxa"/>
              <w:right w:w="15" w:type="dxa"/>
            </w:tcMar>
            <w:hideMark/>
          </w:tcPr>
          <w:p w:rsidR="00000000" w:rsidRPr="0064498E" w:rsidRDefault="0064498E" w:rsidP="0064498E">
            <w:pPr>
              <w:spacing w:after="120" w:line="360" w:lineRule="auto"/>
              <w:rPr>
                <w:color w:val="FFFFFF" w:themeColor="background1"/>
                <w:lang w:val="en-US"/>
              </w:rPr>
            </w:pPr>
            <w:r w:rsidRPr="0064498E">
              <w:rPr>
                <w:b/>
                <w:bCs/>
                <w:color w:val="FFFFFF" w:themeColor="background1"/>
                <w:lang w:val="en-US"/>
              </w:rPr>
              <w:t>10</w:t>
            </w:r>
          </w:p>
        </w:tc>
        <w:tc>
          <w:tcPr>
            <w:tcW w:w="724" w:type="pct"/>
            <w:shd w:val="clear" w:color="auto" w:fill="4F81BD"/>
            <w:tcMar>
              <w:top w:w="15" w:type="dxa"/>
              <w:left w:w="15" w:type="dxa"/>
              <w:bottom w:w="0" w:type="dxa"/>
              <w:right w:w="15" w:type="dxa"/>
            </w:tcMar>
            <w:hideMark/>
          </w:tcPr>
          <w:p w:rsidR="00000000" w:rsidRPr="0064498E" w:rsidRDefault="0064498E" w:rsidP="0064498E">
            <w:pPr>
              <w:spacing w:after="120" w:line="360" w:lineRule="auto"/>
              <w:rPr>
                <w:color w:val="FFFFFF" w:themeColor="background1"/>
                <w:lang w:val="en-US"/>
              </w:rPr>
            </w:pPr>
            <w:proofErr w:type="spellStart"/>
            <w:r w:rsidRPr="0064498E">
              <w:rPr>
                <w:b/>
                <w:bCs/>
                <w:color w:val="FFFFFF" w:themeColor="background1"/>
                <w:lang w:val="en-US"/>
              </w:rPr>
              <w:t>Toplam</w:t>
            </w:r>
            <w:proofErr w:type="spellEnd"/>
            <w:r w:rsidRPr="0064498E">
              <w:rPr>
                <w:b/>
                <w:bCs/>
                <w:color w:val="FFFFFF" w:themeColor="background1"/>
                <w:lang w:val="en-US"/>
              </w:rPr>
              <w:t xml:space="preserve"> </w:t>
            </w:r>
          </w:p>
        </w:tc>
      </w:tr>
      <w:tr w:rsidR="0064498E" w:rsidRPr="0064498E" w:rsidTr="0064498E">
        <w:trPr>
          <w:trHeight w:val="495"/>
        </w:trPr>
        <w:tc>
          <w:tcPr>
            <w:tcW w:w="352" w:type="pct"/>
            <w:shd w:val="clear" w:color="auto" w:fill="D0D8E8"/>
            <w:tcMar>
              <w:top w:w="15" w:type="dxa"/>
              <w:left w:w="15" w:type="dxa"/>
              <w:bottom w:w="0" w:type="dxa"/>
              <w:right w:w="15" w:type="dxa"/>
            </w:tcMar>
            <w:hideMark/>
          </w:tcPr>
          <w:p w:rsidR="00000000" w:rsidRPr="0064498E" w:rsidRDefault="0064498E" w:rsidP="0064498E">
            <w:pPr>
              <w:spacing w:after="120" w:line="360" w:lineRule="auto"/>
              <w:rPr>
                <w:lang w:val="en-US"/>
              </w:rPr>
            </w:pPr>
            <w:proofErr w:type="spellStart"/>
            <w:r w:rsidRPr="0064498E">
              <w:rPr>
                <w:lang w:val="en-US"/>
              </w:rPr>
              <w:t>Yaş</w:t>
            </w:r>
            <w:proofErr w:type="spellEnd"/>
            <w:r w:rsidRPr="0064498E">
              <w:rPr>
                <w:lang w:val="en-US"/>
              </w:rPr>
              <w:t xml:space="preserve"> </w:t>
            </w:r>
          </w:p>
        </w:tc>
        <w:tc>
          <w:tcPr>
            <w:tcW w:w="340" w:type="pct"/>
            <w:shd w:val="clear" w:color="auto" w:fill="D0D8E8"/>
            <w:tcMar>
              <w:top w:w="15" w:type="dxa"/>
              <w:left w:w="15" w:type="dxa"/>
              <w:bottom w:w="0" w:type="dxa"/>
              <w:right w:w="15" w:type="dxa"/>
            </w:tcMar>
            <w:hideMark/>
          </w:tcPr>
          <w:p w:rsidR="00000000" w:rsidRPr="0064498E" w:rsidRDefault="0064498E" w:rsidP="0064498E">
            <w:pPr>
              <w:spacing w:after="120" w:line="360" w:lineRule="auto"/>
              <w:rPr>
                <w:lang w:val="en-US"/>
              </w:rPr>
            </w:pPr>
            <w:r w:rsidRPr="0064498E">
              <w:rPr>
                <w:lang w:val="en-US"/>
              </w:rPr>
              <w:t>14</w:t>
            </w:r>
          </w:p>
        </w:tc>
        <w:tc>
          <w:tcPr>
            <w:tcW w:w="340" w:type="pct"/>
            <w:shd w:val="clear" w:color="auto" w:fill="D0D8E8"/>
            <w:tcMar>
              <w:top w:w="15" w:type="dxa"/>
              <w:left w:w="15" w:type="dxa"/>
              <w:bottom w:w="0" w:type="dxa"/>
              <w:right w:w="15" w:type="dxa"/>
            </w:tcMar>
            <w:hideMark/>
          </w:tcPr>
          <w:p w:rsidR="00000000" w:rsidRPr="0064498E" w:rsidRDefault="0064498E" w:rsidP="0064498E">
            <w:pPr>
              <w:spacing w:after="120" w:line="360" w:lineRule="auto"/>
              <w:rPr>
                <w:lang w:val="en-US"/>
              </w:rPr>
            </w:pPr>
            <w:r w:rsidRPr="0064498E">
              <w:rPr>
                <w:lang w:val="en-US"/>
              </w:rPr>
              <w:t>25</w:t>
            </w:r>
          </w:p>
        </w:tc>
        <w:tc>
          <w:tcPr>
            <w:tcW w:w="445" w:type="pct"/>
            <w:shd w:val="clear" w:color="auto" w:fill="D0D8E8"/>
            <w:tcMar>
              <w:top w:w="15" w:type="dxa"/>
              <w:left w:w="15" w:type="dxa"/>
              <w:bottom w:w="0" w:type="dxa"/>
              <w:right w:w="15" w:type="dxa"/>
            </w:tcMar>
            <w:hideMark/>
          </w:tcPr>
          <w:p w:rsidR="00000000" w:rsidRPr="0064498E" w:rsidRDefault="0064498E" w:rsidP="0064498E">
            <w:pPr>
              <w:spacing w:after="120" w:line="360" w:lineRule="auto"/>
              <w:rPr>
                <w:lang w:val="en-US"/>
              </w:rPr>
            </w:pPr>
            <w:r w:rsidRPr="0064498E">
              <w:rPr>
                <w:lang w:val="en-US"/>
              </w:rPr>
              <w:t>38</w:t>
            </w:r>
          </w:p>
        </w:tc>
        <w:tc>
          <w:tcPr>
            <w:tcW w:w="445" w:type="pct"/>
            <w:shd w:val="clear" w:color="auto" w:fill="D0D8E8"/>
            <w:tcMar>
              <w:top w:w="15" w:type="dxa"/>
              <w:left w:w="15" w:type="dxa"/>
              <w:bottom w:w="0" w:type="dxa"/>
              <w:right w:w="15" w:type="dxa"/>
            </w:tcMar>
            <w:hideMark/>
          </w:tcPr>
          <w:p w:rsidR="00000000" w:rsidRPr="0064498E" w:rsidRDefault="0064498E" w:rsidP="0064498E">
            <w:pPr>
              <w:spacing w:after="120" w:line="360" w:lineRule="auto"/>
              <w:rPr>
                <w:lang w:val="en-US"/>
              </w:rPr>
            </w:pPr>
            <w:r w:rsidRPr="0064498E">
              <w:rPr>
                <w:lang w:val="en-US"/>
              </w:rPr>
              <w:t>41</w:t>
            </w:r>
          </w:p>
        </w:tc>
        <w:tc>
          <w:tcPr>
            <w:tcW w:w="340" w:type="pct"/>
            <w:shd w:val="clear" w:color="auto" w:fill="D0D8E8"/>
            <w:tcMar>
              <w:top w:w="15" w:type="dxa"/>
              <w:left w:w="15" w:type="dxa"/>
              <w:bottom w:w="0" w:type="dxa"/>
              <w:right w:w="15" w:type="dxa"/>
            </w:tcMar>
            <w:hideMark/>
          </w:tcPr>
          <w:p w:rsidR="00000000" w:rsidRPr="0064498E" w:rsidRDefault="0064498E" w:rsidP="0064498E">
            <w:pPr>
              <w:spacing w:after="120" w:line="360" w:lineRule="auto"/>
              <w:rPr>
                <w:lang w:val="en-US"/>
              </w:rPr>
            </w:pPr>
            <w:r w:rsidRPr="0064498E">
              <w:rPr>
                <w:lang w:val="en-US"/>
              </w:rPr>
              <w:t>22</w:t>
            </w:r>
          </w:p>
        </w:tc>
        <w:tc>
          <w:tcPr>
            <w:tcW w:w="445" w:type="pct"/>
            <w:shd w:val="clear" w:color="auto" w:fill="D0D8E8"/>
            <w:tcMar>
              <w:top w:w="15" w:type="dxa"/>
              <w:left w:w="15" w:type="dxa"/>
              <w:bottom w:w="0" w:type="dxa"/>
              <w:right w:w="15" w:type="dxa"/>
            </w:tcMar>
            <w:hideMark/>
          </w:tcPr>
          <w:p w:rsidR="00000000" w:rsidRPr="0064498E" w:rsidRDefault="0064498E" w:rsidP="0064498E">
            <w:pPr>
              <w:spacing w:after="120" w:line="360" w:lineRule="auto"/>
              <w:rPr>
                <w:lang w:val="en-US"/>
              </w:rPr>
            </w:pPr>
            <w:r w:rsidRPr="0064498E">
              <w:rPr>
                <w:lang w:val="en-US"/>
              </w:rPr>
              <w:t>41</w:t>
            </w:r>
          </w:p>
        </w:tc>
        <w:tc>
          <w:tcPr>
            <w:tcW w:w="340" w:type="pct"/>
            <w:shd w:val="clear" w:color="auto" w:fill="D0D8E8"/>
            <w:tcMar>
              <w:top w:w="15" w:type="dxa"/>
              <w:left w:w="15" w:type="dxa"/>
              <w:bottom w:w="0" w:type="dxa"/>
              <w:right w:w="15" w:type="dxa"/>
            </w:tcMar>
            <w:hideMark/>
          </w:tcPr>
          <w:p w:rsidR="00000000" w:rsidRPr="0064498E" w:rsidRDefault="0064498E" w:rsidP="0064498E">
            <w:pPr>
              <w:spacing w:after="120" w:line="360" w:lineRule="auto"/>
              <w:rPr>
                <w:lang w:val="en-US"/>
              </w:rPr>
            </w:pPr>
            <w:r w:rsidRPr="0064498E">
              <w:rPr>
                <w:lang w:val="en-US"/>
              </w:rPr>
              <w:t>25</w:t>
            </w:r>
          </w:p>
        </w:tc>
        <w:tc>
          <w:tcPr>
            <w:tcW w:w="340" w:type="pct"/>
            <w:shd w:val="clear" w:color="auto" w:fill="D0D8E8"/>
            <w:tcMar>
              <w:top w:w="15" w:type="dxa"/>
              <w:left w:w="15" w:type="dxa"/>
              <w:bottom w:w="0" w:type="dxa"/>
              <w:right w:w="15" w:type="dxa"/>
            </w:tcMar>
            <w:hideMark/>
          </w:tcPr>
          <w:p w:rsidR="00000000" w:rsidRPr="0064498E" w:rsidRDefault="0064498E" w:rsidP="0064498E">
            <w:pPr>
              <w:spacing w:after="120" w:line="360" w:lineRule="auto"/>
              <w:rPr>
                <w:lang w:val="en-US"/>
              </w:rPr>
            </w:pPr>
            <w:r w:rsidRPr="0064498E">
              <w:rPr>
                <w:lang w:val="en-US"/>
              </w:rPr>
              <w:t>26</w:t>
            </w:r>
          </w:p>
        </w:tc>
        <w:tc>
          <w:tcPr>
            <w:tcW w:w="445" w:type="pct"/>
            <w:shd w:val="clear" w:color="auto" w:fill="D0D8E8"/>
            <w:tcMar>
              <w:top w:w="15" w:type="dxa"/>
              <w:left w:w="15" w:type="dxa"/>
              <w:bottom w:w="0" w:type="dxa"/>
              <w:right w:w="15" w:type="dxa"/>
            </w:tcMar>
            <w:hideMark/>
          </w:tcPr>
          <w:p w:rsidR="00000000" w:rsidRPr="0064498E" w:rsidRDefault="0064498E" w:rsidP="0064498E">
            <w:pPr>
              <w:spacing w:after="120" w:line="360" w:lineRule="auto"/>
              <w:rPr>
                <w:lang w:val="en-US"/>
              </w:rPr>
            </w:pPr>
            <w:r w:rsidRPr="0064498E">
              <w:rPr>
                <w:lang w:val="en-US"/>
              </w:rPr>
              <w:t>33</w:t>
            </w:r>
          </w:p>
        </w:tc>
        <w:tc>
          <w:tcPr>
            <w:tcW w:w="445" w:type="pct"/>
            <w:shd w:val="clear" w:color="auto" w:fill="D0D8E8"/>
            <w:tcMar>
              <w:top w:w="15" w:type="dxa"/>
              <w:left w:w="15" w:type="dxa"/>
              <w:bottom w:w="0" w:type="dxa"/>
              <w:right w:w="15" w:type="dxa"/>
            </w:tcMar>
            <w:hideMark/>
          </w:tcPr>
          <w:p w:rsidR="00000000" w:rsidRPr="0064498E" w:rsidRDefault="0064498E" w:rsidP="0064498E">
            <w:pPr>
              <w:spacing w:after="120" w:line="360" w:lineRule="auto"/>
              <w:rPr>
                <w:lang w:val="en-US"/>
              </w:rPr>
            </w:pPr>
            <w:r w:rsidRPr="0064498E">
              <w:rPr>
                <w:lang w:val="en-US"/>
              </w:rPr>
              <w:t>35</w:t>
            </w:r>
          </w:p>
        </w:tc>
        <w:tc>
          <w:tcPr>
            <w:tcW w:w="724" w:type="pct"/>
            <w:shd w:val="clear" w:color="auto" w:fill="D0D8E8"/>
            <w:tcMar>
              <w:top w:w="15" w:type="dxa"/>
              <w:left w:w="15" w:type="dxa"/>
              <w:bottom w:w="0" w:type="dxa"/>
              <w:right w:w="15" w:type="dxa"/>
            </w:tcMar>
            <w:hideMark/>
          </w:tcPr>
          <w:p w:rsidR="00000000" w:rsidRPr="0064498E" w:rsidRDefault="0064498E" w:rsidP="0064498E">
            <w:pPr>
              <w:spacing w:after="120" w:line="360" w:lineRule="auto"/>
              <w:rPr>
                <w:lang w:val="en-US"/>
              </w:rPr>
            </w:pPr>
            <w:r w:rsidRPr="0064498E">
              <w:rPr>
                <w:lang w:val="en-US"/>
              </w:rPr>
              <w:t>300</w:t>
            </w:r>
          </w:p>
        </w:tc>
      </w:tr>
      <w:tr w:rsidR="0064498E" w:rsidRPr="0064498E" w:rsidTr="0064498E">
        <w:trPr>
          <w:trHeight w:val="540"/>
        </w:trPr>
        <w:tc>
          <w:tcPr>
            <w:tcW w:w="352" w:type="pct"/>
            <w:shd w:val="clear" w:color="auto" w:fill="E9EDF4"/>
            <w:tcMar>
              <w:top w:w="15" w:type="dxa"/>
              <w:left w:w="15" w:type="dxa"/>
              <w:bottom w:w="0" w:type="dxa"/>
              <w:right w:w="15" w:type="dxa"/>
            </w:tcMar>
            <w:hideMark/>
          </w:tcPr>
          <w:p w:rsidR="00000000" w:rsidRPr="0064498E" w:rsidRDefault="0064498E" w:rsidP="0064498E">
            <w:pPr>
              <w:spacing w:after="120" w:line="360" w:lineRule="auto"/>
              <w:rPr>
                <w:lang w:val="en-US"/>
              </w:rPr>
            </w:pPr>
            <w:r w:rsidRPr="0064498E">
              <w:rPr>
                <w:lang w:val="en-US"/>
              </w:rPr>
              <w:t>X</w:t>
            </w:r>
            <w:r w:rsidRPr="0064498E">
              <w:rPr>
                <w:vertAlign w:val="superscript"/>
                <w:lang w:val="en-US"/>
              </w:rPr>
              <w:t xml:space="preserve">2 </w:t>
            </w:r>
          </w:p>
        </w:tc>
        <w:tc>
          <w:tcPr>
            <w:tcW w:w="340" w:type="pct"/>
            <w:shd w:val="clear" w:color="auto" w:fill="auto"/>
            <w:tcMar>
              <w:top w:w="15" w:type="dxa"/>
              <w:left w:w="15" w:type="dxa"/>
              <w:bottom w:w="0" w:type="dxa"/>
              <w:right w:w="15" w:type="dxa"/>
            </w:tcMar>
            <w:vAlign w:val="bottom"/>
            <w:hideMark/>
          </w:tcPr>
          <w:p w:rsidR="00000000" w:rsidRPr="0064498E" w:rsidRDefault="0064498E" w:rsidP="0064498E">
            <w:pPr>
              <w:spacing w:after="120" w:line="360" w:lineRule="auto"/>
              <w:rPr>
                <w:lang w:val="en-US"/>
              </w:rPr>
            </w:pPr>
            <w:r w:rsidRPr="0064498E">
              <w:rPr>
                <w:lang w:val="en-US"/>
              </w:rPr>
              <w:t>196</w:t>
            </w:r>
          </w:p>
        </w:tc>
        <w:tc>
          <w:tcPr>
            <w:tcW w:w="340" w:type="pct"/>
            <w:shd w:val="clear" w:color="auto" w:fill="auto"/>
            <w:tcMar>
              <w:top w:w="15" w:type="dxa"/>
              <w:left w:w="15" w:type="dxa"/>
              <w:bottom w:w="0" w:type="dxa"/>
              <w:right w:w="15" w:type="dxa"/>
            </w:tcMar>
            <w:vAlign w:val="bottom"/>
            <w:hideMark/>
          </w:tcPr>
          <w:p w:rsidR="00000000" w:rsidRPr="0064498E" w:rsidRDefault="0064498E" w:rsidP="0064498E">
            <w:pPr>
              <w:spacing w:after="120" w:line="360" w:lineRule="auto"/>
              <w:rPr>
                <w:lang w:val="en-US"/>
              </w:rPr>
            </w:pPr>
            <w:r w:rsidRPr="0064498E">
              <w:rPr>
                <w:lang w:val="en-US"/>
              </w:rPr>
              <w:t>625</w:t>
            </w:r>
          </w:p>
        </w:tc>
        <w:tc>
          <w:tcPr>
            <w:tcW w:w="445" w:type="pct"/>
            <w:shd w:val="clear" w:color="auto" w:fill="auto"/>
            <w:tcMar>
              <w:top w:w="15" w:type="dxa"/>
              <w:left w:w="15" w:type="dxa"/>
              <w:bottom w:w="0" w:type="dxa"/>
              <w:right w:w="15" w:type="dxa"/>
            </w:tcMar>
            <w:vAlign w:val="bottom"/>
            <w:hideMark/>
          </w:tcPr>
          <w:p w:rsidR="00000000" w:rsidRPr="0064498E" w:rsidRDefault="0064498E" w:rsidP="0064498E">
            <w:pPr>
              <w:spacing w:after="120" w:line="360" w:lineRule="auto"/>
              <w:rPr>
                <w:lang w:val="en-US"/>
              </w:rPr>
            </w:pPr>
            <w:r w:rsidRPr="0064498E">
              <w:rPr>
                <w:lang w:val="en-US"/>
              </w:rPr>
              <w:t>1444</w:t>
            </w:r>
          </w:p>
        </w:tc>
        <w:tc>
          <w:tcPr>
            <w:tcW w:w="445" w:type="pct"/>
            <w:shd w:val="clear" w:color="auto" w:fill="auto"/>
            <w:tcMar>
              <w:top w:w="15" w:type="dxa"/>
              <w:left w:w="15" w:type="dxa"/>
              <w:bottom w:w="0" w:type="dxa"/>
              <w:right w:w="15" w:type="dxa"/>
            </w:tcMar>
            <w:vAlign w:val="bottom"/>
            <w:hideMark/>
          </w:tcPr>
          <w:p w:rsidR="00000000" w:rsidRPr="0064498E" w:rsidRDefault="0064498E" w:rsidP="0064498E">
            <w:pPr>
              <w:spacing w:after="120" w:line="360" w:lineRule="auto"/>
              <w:rPr>
                <w:lang w:val="en-US"/>
              </w:rPr>
            </w:pPr>
            <w:r w:rsidRPr="0064498E">
              <w:rPr>
                <w:lang w:val="en-US"/>
              </w:rPr>
              <w:t>1681</w:t>
            </w:r>
          </w:p>
        </w:tc>
        <w:tc>
          <w:tcPr>
            <w:tcW w:w="340" w:type="pct"/>
            <w:shd w:val="clear" w:color="auto" w:fill="auto"/>
            <w:tcMar>
              <w:top w:w="15" w:type="dxa"/>
              <w:left w:w="15" w:type="dxa"/>
              <w:bottom w:w="0" w:type="dxa"/>
              <w:right w:w="15" w:type="dxa"/>
            </w:tcMar>
            <w:vAlign w:val="bottom"/>
            <w:hideMark/>
          </w:tcPr>
          <w:p w:rsidR="00000000" w:rsidRPr="0064498E" w:rsidRDefault="0064498E" w:rsidP="0064498E">
            <w:pPr>
              <w:spacing w:after="120" w:line="360" w:lineRule="auto"/>
              <w:rPr>
                <w:lang w:val="en-US"/>
              </w:rPr>
            </w:pPr>
            <w:r w:rsidRPr="0064498E">
              <w:rPr>
                <w:lang w:val="en-US"/>
              </w:rPr>
              <w:t>484</w:t>
            </w:r>
          </w:p>
        </w:tc>
        <w:tc>
          <w:tcPr>
            <w:tcW w:w="445" w:type="pct"/>
            <w:shd w:val="clear" w:color="auto" w:fill="auto"/>
            <w:tcMar>
              <w:top w:w="15" w:type="dxa"/>
              <w:left w:w="15" w:type="dxa"/>
              <w:bottom w:w="0" w:type="dxa"/>
              <w:right w:w="15" w:type="dxa"/>
            </w:tcMar>
            <w:vAlign w:val="bottom"/>
            <w:hideMark/>
          </w:tcPr>
          <w:p w:rsidR="00000000" w:rsidRPr="0064498E" w:rsidRDefault="0064498E" w:rsidP="0064498E">
            <w:pPr>
              <w:spacing w:after="120" w:line="360" w:lineRule="auto"/>
              <w:rPr>
                <w:lang w:val="en-US"/>
              </w:rPr>
            </w:pPr>
            <w:r w:rsidRPr="0064498E">
              <w:rPr>
                <w:lang w:val="en-US"/>
              </w:rPr>
              <w:t>1681</w:t>
            </w:r>
          </w:p>
        </w:tc>
        <w:tc>
          <w:tcPr>
            <w:tcW w:w="340" w:type="pct"/>
            <w:shd w:val="clear" w:color="auto" w:fill="auto"/>
            <w:tcMar>
              <w:top w:w="15" w:type="dxa"/>
              <w:left w:w="15" w:type="dxa"/>
              <w:bottom w:w="0" w:type="dxa"/>
              <w:right w:w="15" w:type="dxa"/>
            </w:tcMar>
            <w:vAlign w:val="bottom"/>
            <w:hideMark/>
          </w:tcPr>
          <w:p w:rsidR="00000000" w:rsidRPr="0064498E" w:rsidRDefault="0064498E" w:rsidP="0064498E">
            <w:pPr>
              <w:spacing w:after="120" w:line="360" w:lineRule="auto"/>
              <w:rPr>
                <w:lang w:val="en-US"/>
              </w:rPr>
            </w:pPr>
            <w:r w:rsidRPr="0064498E">
              <w:rPr>
                <w:lang w:val="en-US"/>
              </w:rPr>
              <w:t>625</w:t>
            </w:r>
          </w:p>
        </w:tc>
        <w:tc>
          <w:tcPr>
            <w:tcW w:w="340" w:type="pct"/>
            <w:shd w:val="clear" w:color="auto" w:fill="auto"/>
            <w:tcMar>
              <w:top w:w="15" w:type="dxa"/>
              <w:left w:w="15" w:type="dxa"/>
              <w:bottom w:w="0" w:type="dxa"/>
              <w:right w:w="15" w:type="dxa"/>
            </w:tcMar>
            <w:vAlign w:val="bottom"/>
            <w:hideMark/>
          </w:tcPr>
          <w:p w:rsidR="00000000" w:rsidRPr="0064498E" w:rsidRDefault="0064498E" w:rsidP="0064498E">
            <w:pPr>
              <w:spacing w:after="120" w:line="360" w:lineRule="auto"/>
              <w:rPr>
                <w:lang w:val="en-US"/>
              </w:rPr>
            </w:pPr>
            <w:r w:rsidRPr="0064498E">
              <w:rPr>
                <w:lang w:val="en-US"/>
              </w:rPr>
              <w:t>676</w:t>
            </w:r>
          </w:p>
        </w:tc>
        <w:tc>
          <w:tcPr>
            <w:tcW w:w="445" w:type="pct"/>
            <w:shd w:val="clear" w:color="auto" w:fill="auto"/>
            <w:tcMar>
              <w:top w:w="15" w:type="dxa"/>
              <w:left w:w="15" w:type="dxa"/>
              <w:bottom w:w="0" w:type="dxa"/>
              <w:right w:w="15" w:type="dxa"/>
            </w:tcMar>
            <w:vAlign w:val="bottom"/>
            <w:hideMark/>
          </w:tcPr>
          <w:p w:rsidR="00000000" w:rsidRPr="0064498E" w:rsidRDefault="0064498E" w:rsidP="0064498E">
            <w:pPr>
              <w:spacing w:after="120" w:line="360" w:lineRule="auto"/>
              <w:rPr>
                <w:lang w:val="en-US"/>
              </w:rPr>
            </w:pPr>
            <w:r w:rsidRPr="0064498E">
              <w:rPr>
                <w:lang w:val="en-US"/>
              </w:rPr>
              <w:t>1089</w:t>
            </w:r>
          </w:p>
        </w:tc>
        <w:tc>
          <w:tcPr>
            <w:tcW w:w="445" w:type="pct"/>
            <w:shd w:val="clear" w:color="auto" w:fill="auto"/>
            <w:tcMar>
              <w:top w:w="15" w:type="dxa"/>
              <w:left w:w="15" w:type="dxa"/>
              <w:bottom w:w="0" w:type="dxa"/>
              <w:right w:w="15" w:type="dxa"/>
            </w:tcMar>
            <w:vAlign w:val="bottom"/>
            <w:hideMark/>
          </w:tcPr>
          <w:p w:rsidR="00000000" w:rsidRPr="0064498E" w:rsidRDefault="0064498E" w:rsidP="0064498E">
            <w:pPr>
              <w:spacing w:after="120" w:line="360" w:lineRule="auto"/>
              <w:rPr>
                <w:lang w:val="en-US"/>
              </w:rPr>
            </w:pPr>
            <w:r w:rsidRPr="0064498E">
              <w:rPr>
                <w:lang w:val="en-US"/>
              </w:rPr>
              <w:t>1225</w:t>
            </w:r>
          </w:p>
        </w:tc>
        <w:tc>
          <w:tcPr>
            <w:tcW w:w="724" w:type="pct"/>
            <w:shd w:val="clear" w:color="auto" w:fill="E9EDF4"/>
            <w:tcMar>
              <w:top w:w="15" w:type="dxa"/>
              <w:left w:w="15" w:type="dxa"/>
              <w:bottom w:w="0" w:type="dxa"/>
              <w:right w:w="15" w:type="dxa"/>
            </w:tcMar>
            <w:hideMark/>
          </w:tcPr>
          <w:p w:rsidR="00000000" w:rsidRPr="0064498E" w:rsidRDefault="0064498E" w:rsidP="0064498E">
            <w:pPr>
              <w:spacing w:after="120" w:line="360" w:lineRule="auto"/>
              <w:rPr>
                <w:lang w:val="en-US"/>
              </w:rPr>
            </w:pPr>
            <w:r w:rsidRPr="0064498E">
              <w:rPr>
                <w:lang w:val="en-US"/>
              </w:rPr>
              <w:t>9726</w:t>
            </w:r>
          </w:p>
        </w:tc>
      </w:tr>
    </w:tbl>
    <w:p w:rsidR="00486D43" w:rsidRDefault="0064498E" w:rsidP="0064498E">
      <w:pPr>
        <w:spacing w:after="120" w:line="360" w:lineRule="auto"/>
      </w:pPr>
      <w:r>
        <w:t xml:space="preserve"> </w:t>
      </w:r>
    </w:p>
    <w:p w:rsidR="0064498E" w:rsidRDefault="0064498E" w:rsidP="0064498E">
      <w:pPr>
        <w:spacing w:after="120" w:line="360" w:lineRule="auto"/>
      </w:pPr>
      <w:r w:rsidRPr="0064498E">
        <w:drawing>
          <wp:inline distT="0" distB="0" distL="0" distR="0">
            <wp:extent cx="5760720" cy="462212"/>
            <wp:effectExtent l="0" t="0" r="0" b="0"/>
            <wp:docPr id="3"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286676" cy="584775"/>
                      <a:chOff x="928662" y="3558605"/>
                      <a:chExt cx="7286676" cy="584775"/>
                    </a:xfrm>
                  </a:grpSpPr>
                  <a:sp>
                    <a:nvSpPr>
                      <a:cNvPr id="5" name="4 Metin kutusu"/>
                      <a:cNvSpPr txBox="1"/>
                    </a:nvSpPr>
                    <a:spPr>
                      <a:xfrm>
                        <a:off x="928662" y="3558605"/>
                        <a:ext cx="7286676" cy="584775"/>
                      </a:xfrm>
                      <a:prstGeom prst="rect">
                        <a:avLst/>
                      </a:prstGeom>
                    </a:spPr>
                    <a:txSp>
                      <a:txBody>
                        <a:bodyPr wrap="square" rtlCol="0">
                          <a:spAutoFit/>
                        </a:bodyPr>
                        <a:lstStyle>
                          <a:defPPr>
                            <a:defRPr lang="tr-T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tr-TR" sz="3200" dirty="0" smtClean="0"/>
                            <a:t>S</a:t>
                          </a:r>
                          <a:r>
                            <a:rPr lang="tr-TR" sz="3200" baseline="30000" dirty="0" smtClean="0"/>
                            <a:t>2</a:t>
                          </a:r>
                          <a:r>
                            <a:rPr lang="tr-TR" sz="3200" dirty="0" smtClean="0"/>
                            <a:t>=</a:t>
                          </a:r>
                          <a:r>
                            <a:rPr lang="en-US" sz="3200" dirty="0" smtClean="0"/>
                            <a:t>9726</a:t>
                          </a:r>
                          <a:r>
                            <a:rPr lang="tr-TR" sz="3200" dirty="0" smtClean="0"/>
                            <a:t>-((</a:t>
                          </a:r>
                          <a:r>
                            <a:rPr lang="en-US" sz="3200" dirty="0" smtClean="0"/>
                            <a:t>300</a:t>
                          </a:r>
                          <a:r>
                            <a:rPr lang="tr-TR" sz="3200" dirty="0" smtClean="0"/>
                            <a:t>)</a:t>
                          </a:r>
                          <a:r>
                            <a:rPr lang="tr-TR" sz="3200" baseline="30000" dirty="0" smtClean="0"/>
                            <a:t>2</a:t>
                          </a:r>
                          <a:r>
                            <a:rPr lang="tr-TR" sz="3200" dirty="0" smtClean="0"/>
                            <a:t>/10)/9=</a:t>
                          </a:r>
                          <a:r>
                            <a:rPr lang="en-US" sz="3200" dirty="0" smtClean="0"/>
                            <a:t>80,67</a:t>
                          </a:r>
                          <a:r>
                            <a:rPr lang="tr-TR" sz="3200" dirty="0" smtClean="0"/>
                            <a:t>  S=</a:t>
                          </a:r>
                          <a:r>
                            <a:rPr lang="en-US" sz="3200" dirty="0" smtClean="0"/>
                            <a:t>8,98</a:t>
                          </a:r>
                          <a:endParaRPr lang="tr-TR" sz="3200" dirty="0"/>
                        </a:p>
                      </a:txBody>
                      <a:useSpRect/>
                    </a:txSp>
                    <a:style>
                      <a:lnRef idx="2">
                        <a:schemeClr val="dk1"/>
                      </a:lnRef>
                      <a:fillRef idx="1">
                        <a:schemeClr val="lt1"/>
                      </a:fillRef>
                      <a:effectRef idx="0">
                        <a:schemeClr val="dk1"/>
                      </a:effectRef>
                      <a:fontRef idx="minor">
                        <a:schemeClr val="dk1"/>
                      </a:fontRef>
                    </a:style>
                  </a:sp>
                </lc:lockedCanvas>
              </a:graphicData>
            </a:graphic>
          </wp:inline>
        </w:drawing>
      </w:r>
    </w:p>
    <w:p w:rsidR="003B75D7" w:rsidRDefault="003B75D7" w:rsidP="003B75D7">
      <w:pPr>
        <w:pStyle w:val="Heading2"/>
      </w:pPr>
      <w:r>
        <w:t>Standart sapma</w:t>
      </w:r>
      <w:bookmarkEnd w:id="4"/>
    </w:p>
    <w:p w:rsidR="003B75D7" w:rsidRDefault="003B75D7" w:rsidP="003B75D7">
      <w:pPr>
        <w:spacing w:after="120" w:line="360" w:lineRule="auto"/>
      </w:pPr>
      <w:r>
        <w:t>Standart sapma varyansın kare köküdür.</w:t>
      </w:r>
    </w:p>
    <w:p w:rsidR="003B75D7" w:rsidRDefault="003B75D7" w:rsidP="003B75D7">
      <w:pPr>
        <w:spacing w:after="120" w:line="360" w:lineRule="auto"/>
      </w:pPr>
      <w:r>
        <w:rPr>
          <w:noProof/>
          <w:lang w:val="en-US" w:eastAsia="en-US"/>
        </w:rPr>
        <w:drawing>
          <wp:inline distT="0" distB="0" distL="0" distR="0">
            <wp:extent cx="1000125" cy="428625"/>
            <wp:effectExtent l="1905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000125" cy="428625"/>
                    </a:xfrm>
                    <a:prstGeom prst="rect">
                      <a:avLst/>
                    </a:prstGeom>
                    <a:noFill/>
                    <a:ln w="9525">
                      <a:noFill/>
                      <a:miter lim="800000"/>
                      <a:headEnd/>
                      <a:tailEnd/>
                    </a:ln>
                  </pic:spPr>
                </pic:pic>
              </a:graphicData>
            </a:graphic>
          </wp:inline>
        </w:drawing>
      </w:r>
    </w:p>
    <w:p w:rsidR="003B75D7" w:rsidRDefault="003B75D7" w:rsidP="003B75D7">
      <w:pPr>
        <w:spacing w:after="120" w:line="360" w:lineRule="auto"/>
      </w:pPr>
      <w:r>
        <w:t>Standart sapmayı verilerin ortalamadan sapma dereceleri olarak düşünebiliriz.</w:t>
      </w:r>
    </w:p>
    <w:p w:rsidR="003B75D7" w:rsidRDefault="003B75D7" w:rsidP="003B75D7">
      <w:pPr>
        <w:spacing w:after="120" w:line="360" w:lineRule="auto"/>
      </w:pPr>
      <w:r>
        <w:t xml:space="preserve">Standart sapmayı ortalamaya böler ve bunu yüzde olarak ifade edersek, </w:t>
      </w:r>
      <w:r w:rsidRPr="00A37B7C">
        <w:rPr>
          <w:b/>
        </w:rPr>
        <w:t>varyans katsayısını</w:t>
      </w:r>
      <w:r>
        <w:t xml:space="preserve"> (coefficient of variation) buluruz. Varyans katsayısının avantajı değişkenin biriminden etkilenmemesidir (% olarak ifade edilmesi) ancak, teorik dezavantajları nedeniyle genelde tercih edilmez..</w:t>
      </w:r>
    </w:p>
    <w:p w:rsidR="003B75D7" w:rsidRDefault="003B75D7" w:rsidP="003B75D7">
      <w:pPr>
        <w:pStyle w:val="Heading2"/>
      </w:pPr>
      <w:bookmarkStart w:id="5" w:name="_Toc231634932"/>
      <w:r>
        <w:t>Birey içi ve bireyler arası farklılıklar</w:t>
      </w:r>
      <w:bookmarkEnd w:id="5"/>
    </w:p>
    <w:p w:rsidR="003B75D7" w:rsidRDefault="003B75D7" w:rsidP="003B75D7">
      <w:pPr>
        <w:spacing w:after="120" w:line="360" w:lineRule="auto"/>
      </w:pPr>
      <w:r>
        <w:t>Aynı bireyde birden çok ölçüm yapmamız halinde farklı sonuçlar elde edebiliriz (</w:t>
      </w:r>
      <w:r w:rsidRPr="00C16C0B">
        <w:rPr>
          <w:b/>
        </w:rPr>
        <w:t>birey içi farklılık</w:t>
      </w:r>
      <w:r>
        <w:t>). Bu fark, bireyin her defasında aynı cevabı vermemesi veya ölçüm hatasından kaynaklanabilir. Bununla birlikte, birey içi farklılık aynı ölçümün bir gruptaki farklı bireylerde yapılan ölçümler arasındaki farklılığa (</w:t>
      </w:r>
      <w:r w:rsidRPr="00C16C0B">
        <w:rPr>
          <w:b/>
        </w:rPr>
        <w:t>bireyler arası farklılık</w:t>
      </w:r>
      <w:r>
        <w:t xml:space="preserve">) göre daha azdır. Araştırma tasarımı sırasında bu farklılıklar önem </w:t>
      </w:r>
      <w:r w:rsidR="0022300B">
        <w:t>arz edecektir</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0"/>
        <w:gridCol w:w="3070"/>
      </w:tblGrid>
      <w:tr w:rsidR="003B75D7" w:rsidRPr="0067265F" w:rsidTr="00853811">
        <w:tc>
          <w:tcPr>
            <w:tcW w:w="3070" w:type="dxa"/>
          </w:tcPr>
          <w:p w:rsidR="003B75D7" w:rsidRPr="0067265F" w:rsidRDefault="003B75D7" w:rsidP="00853811">
            <w:pPr>
              <w:rPr>
                <w:b/>
              </w:rPr>
            </w:pPr>
            <w:r w:rsidRPr="0067265F">
              <w:rPr>
                <w:b/>
              </w:rPr>
              <w:t>Yaygınlık ölçütü</w:t>
            </w:r>
          </w:p>
        </w:tc>
        <w:tc>
          <w:tcPr>
            <w:tcW w:w="3070" w:type="dxa"/>
          </w:tcPr>
          <w:p w:rsidR="003B75D7" w:rsidRPr="0067265F" w:rsidRDefault="003B75D7" w:rsidP="00853811">
            <w:pPr>
              <w:rPr>
                <w:b/>
              </w:rPr>
            </w:pPr>
            <w:r w:rsidRPr="0067265F">
              <w:rPr>
                <w:b/>
              </w:rPr>
              <w:t>Olumlu yönleri</w:t>
            </w:r>
          </w:p>
        </w:tc>
        <w:tc>
          <w:tcPr>
            <w:tcW w:w="3070" w:type="dxa"/>
          </w:tcPr>
          <w:p w:rsidR="003B75D7" w:rsidRPr="0067265F" w:rsidRDefault="003B75D7" w:rsidP="00853811">
            <w:pPr>
              <w:rPr>
                <w:b/>
              </w:rPr>
            </w:pPr>
            <w:r w:rsidRPr="0067265F">
              <w:rPr>
                <w:b/>
              </w:rPr>
              <w:t>Olumsuz yönleri</w:t>
            </w:r>
          </w:p>
        </w:tc>
      </w:tr>
      <w:tr w:rsidR="003B75D7" w:rsidRPr="00274EFE" w:rsidTr="00853811">
        <w:tc>
          <w:tcPr>
            <w:tcW w:w="3070" w:type="dxa"/>
          </w:tcPr>
          <w:p w:rsidR="003B75D7" w:rsidRPr="00274EFE" w:rsidRDefault="003B75D7" w:rsidP="00853811">
            <w:r>
              <w:t>Aralık (</w:t>
            </w:r>
            <w:r w:rsidRPr="00274EFE">
              <w:t>Range</w:t>
            </w:r>
            <w:r>
              <w:t>)</w:t>
            </w:r>
          </w:p>
        </w:tc>
        <w:tc>
          <w:tcPr>
            <w:tcW w:w="3070" w:type="dxa"/>
          </w:tcPr>
          <w:p w:rsidR="003B75D7" w:rsidRPr="00274EFE" w:rsidRDefault="003B75D7" w:rsidP="003B75D7">
            <w:pPr>
              <w:numPr>
                <w:ilvl w:val="0"/>
                <w:numId w:val="2"/>
              </w:numPr>
              <w:ind w:left="332" w:hanging="283"/>
            </w:pPr>
            <w:r>
              <w:t>Kolayca saptanabilir</w:t>
            </w:r>
          </w:p>
        </w:tc>
        <w:tc>
          <w:tcPr>
            <w:tcW w:w="3070" w:type="dxa"/>
          </w:tcPr>
          <w:p w:rsidR="003B75D7" w:rsidRDefault="003B75D7" w:rsidP="003B75D7">
            <w:pPr>
              <w:numPr>
                <w:ilvl w:val="0"/>
                <w:numId w:val="2"/>
              </w:numPr>
              <w:ind w:left="239" w:hanging="239"/>
            </w:pPr>
            <w:r>
              <w:t>Sadece iki gözlemi kullanır</w:t>
            </w:r>
          </w:p>
          <w:p w:rsidR="003B75D7" w:rsidRDefault="003B75D7" w:rsidP="003B75D7">
            <w:pPr>
              <w:numPr>
                <w:ilvl w:val="0"/>
                <w:numId w:val="2"/>
              </w:numPr>
              <w:ind w:left="239" w:hanging="239"/>
            </w:pPr>
            <w:r>
              <w:t>Uç değerlerden etkilenir</w:t>
            </w:r>
          </w:p>
          <w:p w:rsidR="003B75D7" w:rsidRPr="00274EFE" w:rsidRDefault="003B75D7" w:rsidP="003B75D7">
            <w:pPr>
              <w:numPr>
                <w:ilvl w:val="0"/>
                <w:numId w:val="2"/>
              </w:numPr>
              <w:ind w:left="239" w:hanging="239"/>
            </w:pPr>
            <w:r>
              <w:t>Örneklem sayısı arttıkça artma eğilimindedir</w:t>
            </w:r>
          </w:p>
        </w:tc>
      </w:tr>
      <w:tr w:rsidR="003B75D7" w:rsidRPr="00274EFE" w:rsidTr="00853811">
        <w:tc>
          <w:tcPr>
            <w:tcW w:w="3070" w:type="dxa"/>
          </w:tcPr>
          <w:p w:rsidR="003B75D7" w:rsidRPr="00274EFE" w:rsidRDefault="003B75D7" w:rsidP="00853811">
            <w:pPr>
              <w:autoSpaceDE w:val="0"/>
              <w:autoSpaceDN w:val="0"/>
              <w:adjustRightInd w:val="0"/>
            </w:pPr>
            <w:r>
              <w:t>Persantillere dayalı aralık</w:t>
            </w:r>
          </w:p>
        </w:tc>
        <w:tc>
          <w:tcPr>
            <w:tcW w:w="3070" w:type="dxa"/>
          </w:tcPr>
          <w:p w:rsidR="003B75D7" w:rsidRDefault="003B75D7" w:rsidP="003B75D7">
            <w:pPr>
              <w:numPr>
                <w:ilvl w:val="0"/>
                <w:numId w:val="2"/>
              </w:numPr>
              <w:autoSpaceDE w:val="0"/>
              <w:autoSpaceDN w:val="0"/>
              <w:adjustRightInd w:val="0"/>
              <w:ind w:left="332" w:hanging="283"/>
            </w:pPr>
            <w:r>
              <w:t>Genelde uç değerlerden etkilenmez</w:t>
            </w:r>
          </w:p>
          <w:p w:rsidR="003B75D7" w:rsidRDefault="003B75D7" w:rsidP="003B75D7">
            <w:pPr>
              <w:numPr>
                <w:ilvl w:val="0"/>
                <w:numId w:val="2"/>
              </w:numPr>
              <w:autoSpaceDE w:val="0"/>
              <w:autoSpaceDN w:val="0"/>
              <w:adjustRightInd w:val="0"/>
              <w:ind w:left="332" w:hanging="283"/>
            </w:pPr>
            <w:r>
              <w:t>Örneklem sayısından bağımsızdır</w:t>
            </w:r>
          </w:p>
          <w:p w:rsidR="003B75D7" w:rsidRPr="00274EFE" w:rsidRDefault="003B75D7" w:rsidP="003B75D7">
            <w:pPr>
              <w:numPr>
                <w:ilvl w:val="0"/>
                <w:numId w:val="2"/>
              </w:numPr>
              <w:autoSpaceDE w:val="0"/>
              <w:autoSpaceDN w:val="0"/>
              <w:adjustRightInd w:val="0"/>
              <w:ind w:left="332" w:hanging="283"/>
            </w:pPr>
            <w:r>
              <w:t>Eğimli veriler için uygundur</w:t>
            </w:r>
          </w:p>
        </w:tc>
        <w:tc>
          <w:tcPr>
            <w:tcW w:w="3070" w:type="dxa"/>
          </w:tcPr>
          <w:p w:rsidR="003B75D7" w:rsidRDefault="003B75D7" w:rsidP="003B75D7">
            <w:pPr>
              <w:numPr>
                <w:ilvl w:val="0"/>
                <w:numId w:val="2"/>
              </w:numPr>
              <w:autoSpaceDE w:val="0"/>
              <w:autoSpaceDN w:val="0"/>
              <w:adjustRightInd w:val="0"/>
              <w:ind w:left="239" w:hanging="239"/>
            </w:pPr>
            <w:r>
              <w:t>Hesaplanması hantaldır</w:t>
            </w:r>
          </w:p>
          <w:p w:rsidR="003B75D7" w:rsidRDefault="003B75D7" w:rsidP="003B75D7">
            <w:pPr>
              <w:numPr>
                <w:ilvl w:val="0"/>
                <w:numId w:val="2"/>
              </w:numPr>
              <w:autoSpaceDE w:val="0"/>
              <w:autoSpaceDN w:val="0"/>
              <w:adjustRightInd w:val="0"/>
              <w:ind w:left="239" w:hanging="239"/>
            </w:pPr>
            <w:r>
              <w:t>Küçük örnekler iççin hesaplanamaz</w:t>
            </w:r>
          </w:p>
          <w:p w:rsidR="003B75D7" w:rsidRDefault="003B75D7" w:rsidP="003B75D7">
            <w:pPr>
              <w:numPr>
                <w:ilvl w:val="0"/>
                <w:numId w:val="2"/>
              </w:numPr>
              <w:autoSpaceDE w:val="0"/>
              <w:autoSpaceDN w:val="0"/>
              <w:adjustRightInd w:val="0"/>
              <w:ind w:left="239" w:hanging="239"/>
            </w:pPr>
            <w:r>
              <w:t>Sadece iki gözlem kullanır</w:t>
            </w:r>
          </w:p>
          <w:p w:rsidR="003B75D7" w:rsidRPr="00274EFE" w:rsidRDefault="003B75D7" w:rsidP="003B75D7">
            <w:pPr>
              <w:numPr>
                <w:ilvl w:val="0"/>
                <w:numId w:val="2"/>
              </w:numPr>
              <w:autoSpaceDE w:val="0"/>
              <w:autoSpaceDN w:val="0"/>
              <w:adjustRightInd w:val="0"/>
              <w:ind w:left="239" w:hanging="239"/>
            </w:pPr>
            <w:r>
              <w:t>Cebirsel olarak tanımlanmamıştır</w:t>
            </w:r>
          </w:p>
        </w:tc>
      </w:tr>
      <w:tr w:rsidR="003B75D7" w:rsidRPr="00274EFE" w:rsidTr="00853811">
        <w:tc>
          <w:tcPr>
            <w:tcW w:w="3070" w:type="dxa"/>
          </w:tcPr>
          <w:p w:rsidR="003B75D7" w:rsidRPr="00274EFE" w:rsidRDefault="003B75D7" w:rsidP="00853811">
            <w:pPr>
              <w:autoSpaceDE w:val="0"/>
              <w:autoSpaceDN w:val="0"/>
              <w:adjustRightInd w:val="0"/>
            </w:pPr>
            <w:r w:rsidRPr="00274EFE">
              <w:lastRenderedPageBreak/>
              <w:t>Var</w:t>
            </w:r>
            <w:r>
              <w:t>yans</w:t>
            </w:r>
          </w:p>
        </w:tc>
        <w:tc>
          <w:tcPr>
            <w:tcW w:w="3070" w:type="dxa"/>
          </w:tcPr>
          <w:p w:rsidR="003B75D7" w:rsidRDefault="003B75D7" w:rsidP="003B75D7">
            <w:pPr>
              <w:numPr>
                <w:ilvl w:val="0"/>
                <w:numId w:val="2"/>
              </w:numPr>
              <w:autoSpaceDE w:val="0"/>
              <w:autoSpaceDN w:val="0"/>
              <w:adjustRightInd w:val="0"/>
              <w:ind w:left="332" w:hanging="283"/>
            </w:pPr>
            <w:r>
              <w:t>Her gözlemi dikkate alır</w:t>
            </w:r>
          </w:p>
          <w:p w:rsidR="003B75D7" w:rsidRPr="00274EFE" w:rsidRDefault="003B75D7" w:rsidP="003B75D7">
            <w:pPr>
              <w:numPr>
                <w:ilvl w:val="0"/>
                <w:numId w:val="2"/>
              </w:numPr>
              <w:autoSpaceDE w:val="0"/>
              <w:autoSpaceDN w:val="0"/>
              <w:adjustRightInd w:val="0"/>
              <w:ind w:left="332" w:hanging="283"/>
            </w:pPr>
            <w:r>
              <w:t>Cebirsel olarak tanımlanmıştır</w:t>
            </w:r>
            <w:r w:rsidRPr="00274EFE">
              <w:t xml:space="preserve"> </w:t>
            </w:r>
          </w:p>
        </w:tc>
        <w:tc>
          <w:tcPr>
            <w:tcW w:w="3070" w:type="dxa"/>
          </w:tcPr>
          <w:p w:rsidR="003B75D7" w:rsidRDefault="003B75D7" w:rsidP="003B75D7">
            <w:pPr>
              <w:numPr>
                <w:ilvl w:val="0"/>
                <w:numId w:val="2"/>
              </w:numPr>
              <w:autoSpaceDE w:val="0"/>
              <w:autoSpaceDN w:val="0"/>
              <w:adjustRightInd w:val="0"/>
              <w:ind w:left="239" w:hanging="239"/>
            </w:pPr>
            <w:r>
              <w:t>Ölçüm birimi ham verinin karesidir</w:t>
            </w:r>
          </w:p>
          <w:p w:rsidR="003B75D7" w:rsidRDefault="003B75D7" w:rsidP="003B75D7">
            <w:pPr>
              <w:numPr>
                <w:ilvl w:val="0"/>
                <w:numId w:val="2"/>
              </w:numPr>
              <w:autoSpaceDE w:val="0"/>
              <w:autoSpaceDN w:val="0"/>
              <w:adjustRightInd w:val="0"/>
              <w:ind w:left="239" w:hanging="239"/>
            </w:pPr>
            <w:r>
              <w:t>Uç değerlerden etkilenir</w:t>
            </w:r>
          </w:p>
          <w:p w:rsidR="003B75D7" w:rsidRPr="00274EFE" w:rsidRDefault="003B75D7" w:rsidP="003B75D7">
            <w:pPr>
              <w:numPr>
                <w:ilvl w:val="0"/>
                <w:numId w:val="2"/>
              </w:numPr>
              <w:autoSpaceDE w:val="0"/>
              <w:autoSpaceDN w:val="0"/>
              <w:adjustRightInd w:val="0"/>
              <w:ind w:left="239" w:hanging="239"/>
            </w:pPr>
            <w:r>
              <w:t>Eğimli veriler için uygun değildir</w:t>
            </w:r>
          </w:p>
        </w:tc>
      </w:tr>
      <w:tr w:rsidR="003B75D7" w:rsidRPr="00274EFE" w:rsidTr="00853811">
        <w:tc>
          <w:tcPr>
            <w:tcW w:w="3070" w:type="dxa"/>
          </w:tcPr>
          <w:p w:rsidR="003B75D7" w:rsidRPr="00274EFE" w:rsidRDefault="003B75D7" w:rsidP="00853811">
            <w:pPr>
              <w:autoSpaceDE w:val="0"/>
              <w:autoSpaceDN w:val="0"/>
              <w:adjustRightInd w:val="0"/>
            </w:pPr>
            <w:r w:rsidRPr="00274EFE">
              <w:t>Standar</w:t>
            </w:r>
            <w:r>
              <w:t>t sapma</w:t>
            </w:r>
          </w:p>
        </w:tc>
        <w:tc>
          <w:tcPr>
            <w:tcW w:w="3070" w:type="dxa"/>
          </w:tcPr>
          <w:p w:rsidR="003B75D7" w:rsidRDefault="003B75D7" w:rsidP="003B75D7">
            <w:pPr>
              <w:numPr>
                <w:ilvl w:val="0"/>
                <w:numId w:val="2"/>
              </w:numPr>
              <w:autoSpaceDE w:val="0"/>
              <w:autoSpaceDN w:val="0"/>
              <w:adjustRightInd w:val="0"/>
              <w:ind w:left="332" w:hanging="283"/>
            </w:pPr>
            <w:r>
              <w:t>Varyansla aynı avantajlara sahip</w:t>
            </w:r>
          </w:p>
          <w:p w:rsidR="003B75D7" w:rsidRDefault="003B75D7" w:rsidP="003B75D7">
            <w:pPr>
              <w:numPr>
                <w:ilvl w:val="0"/>
                <w:numId w:val="2"/>
              </w:numPr>
              <w:autoSpaceDE w:val="0"/>
              <w:autoSpaceDN w:val="0"/>
              <w:adjustRightInd w:val="0"/>
              <w:ind w:left="332" w:hanging="283"/>
            </w:pPr>
            <w:r>
              <w:t>Ölçüm birimi ham verininkiyle aynıdır</w:t>
            </w:r>
          </w:p>
          <w:p w:rsidR="003B75D7" w:rsidRPr="00274EFE" w:rsidRDefault="003B75D7" w:rsidP="003B75D7">
            <w:pPr>
              <w:numPr>
                <w:ilvl w:val="0"/>
                <w:numId w:val="2"/>
              </w:numPr>
              <w:autoSpaceDE w:val="0"/>
              <w:autoSpaceDN w:val="0"/>
              <w:adjustRightInd w:val="0"/>
              <w:ind w:left="332" w:hanging="283"/>
            </w:pPr>
            <w:r>
              <w:t>Kolayca yorumlanabilir</w:t>
            </w:r>
          </w:p>
        </w:tc>
        <w:tc>
          <w:tcPr>
            <w:tcW w:w="3070" w:type="dxa"/>
          </w:tcPr>
          <w:p w:rsidR="003B75D7" w:rsidRDefault="003B75D7" w:rsidP="003B75D7">
            <w:pPr>
              <w:numPr>
                <w:ilvl w:val="0"/>
                <w:numId w:val="2"/>
              </w:numPr>
              <w:autoSpaceDE w:val="0"/>
              <w:autoSpaceDN w:val="0"/>
              <w:adjustRightInd w:val="0"/>
              <w:ind w:left="239" w:hanging="239"/>
            </w:pPr>
            <w:r>
              <w:t>Uç değerlerden etkilenir</w:t>
            </w:r>
          </w:p>
          <w:p w:rsidR="003B75D7" w:rsidRPr="00274EFE" w:rsidRDefault="003B75D7" w:rsidP="003B75D7">
            <w:pPr>
              <w:numPr>
                <w:ilvl w:val="0"/>
                <w:numId w:val="2"/>
              </w:numPr>
              <w:autoSpaceDE w:val="0"/>
              <w:autoSpaceDN w:val="0"/>
              <w:adjustRightInd w:val="0"/>
              <w:ind w:left="239" w:hanging="239"/>
            </w:pPr>
            <w:r>
              <w:t>Eğimli veriler için uygun değildir</w:t>
            </w:r>
          </w:p>
        </w:tc>
      </w:tr>
    </w:tbl>
    <w:p w:rsidR="003B75D7" w:rsidRDefault="003B75D7" w:rsidP="003B75D7">
      <w:pPr>
        <w:spacing w:after="120" w:line="360" w:lineRule="auto"/>
      </w:pPr>
    </w:p>
    <w:p w:rsidR="008020F8" w:rsidRDefault="008020F8"/>
    <w:sectPr w:rsidR="008020F8" w:rsidSect="008020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00C15"/>
    <w:multiLevelType w:val="hybridMultilevel"/>
    <w:tmpl w:val="58A2B8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D5E5F6A"/>
    <w:multiLevelType w:val="multilevel"/>
    <w:tmpl w:val="51AA7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CA3E8E"/>
    <w:multiLevelType w:val="hybridMultilevel"/>
    <w:tmpl w:val="5DB8EC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B75D7"/>
    <w:rsid w:val="00017FCF"/>
    <w:rsid w:val="001459BF"/>
    <w:rsid w:val="0022300B"/>
    <w:rsid w:val="003B75D7"/>
    <w:rsid w:val="00486D43"/>
    <w:rsid w:val="0064498E"/>
    <w:rsid w:val="008020F8"/>
    <w:rsid w:val="00810D35"/>
    <w:rsid w:val="00832699"/>
    <w:rsid w:val="00853811"/>
    <w:rsid w:val="00D475CE"/>
    <w:rsid w:val="00DE52B5"/>
    <w:rsid w:val="00F05D41"/>
    <w:rsid w:val="00F47AE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5D7"/>
    <w:pPr>
      <w:spacing w:after="0" w:line="240" w:lineRule="auto"/>
    </w:pPr>
    <w:rPr>
      <w:rFonts w:ascii="Times New Roman" w:eastAsia="Times New Roman" w:hAnsi="Times New Roman" w:cs="Times New Roman"/>
      <w:sz w:val="24"/>
      <w:szCs w:val="24"/>
      <w:lang w:eastAsia="tr-TR"/>
    </w:rPr>
  </w:style>
  <w:style w:type="paragraph" w:styleId="Heading1">
    <w:name w:val="heading 1"/>
    <w:aliases w:val="Başlık 1 Char Char Char"/>
    <w:basedOn w:val="Normal"/>
    <w:next w:val="Normal"/>
    <w:link w:val="Heading1Char"/>
    <w:qFormat/>
    <w:rsid w:val="003B75D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B75D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aşlık 1 Char Char Char Char"/>
    <w:basedOn w:val="DefaultParagraphFont"/>
    <w:link w:val="Heading1"/>
    <w:rsid w:val="003B75D7"/>
    <w:rPr>
      <w:rFonts w:ascii="Arial" w:eastAsia="Times New Roman" w:hAnsi="Arial" w:cs="Arial"/>
      <w:b/>
      <w:bCs/>
      <w:kern w:val="32"/>
      <w:sz w:val="32"/>
      <w:szCs w:val="32"/>
      <w:lang w:eastAsia="tr-TR"/>
    </w:rPr>
  </w:style>
  <w:style w:type="character" w:customStyle="1" w:styleId="Heading2Char">
    <w:name w:val="Heading 2 Char"/>
    <w:basedOn w:val="DefaultParagraphFont"/>
    <w:link w:val="Heading2"/>
    <w:rsid w:val="003B75D7"/>
    <w:rPr>
      <w:rFonts w:ascii="Arial" w:eastAsia="Times New Roman" w:hAnsi="Arial" w:cs="Arial"/>
      <w:b/>
      <w:bCs/>
      <w:i/>
      <w:iCs/>
      <w:sz w:val="28"/>
      <w:szCs w:val="28"/>
      <w:lang w:eastAsia="tr-TR"/>
    </w:rPr>
  </w:style>
  <w:style w:type="paragraph" w:styleId="DocumentMap">
    <w:name w:val="Document Map"/>
    <w:basedOn w:val="Normal"/>
    <w:link w:val="DocumentMapChar"/>
    <w:uiPriority w:val="99"/>
    <w:semiHidden/>
    <w:unhideWhenUsed/>
    <w:rsid w:val="003B75D7"/>
    <w:rPr>
      <w:rFonts w:ascii="Tahoma" w:hAnsi="Tahoma" w:cs="Tahoma"/>
      <w:sz w:val="16"/>
      <w:szCs w:val="16"/>
    </w:rPr>
  </w:style>
  <w:style w:type="character" w:customStyle="1" w:styleId="DocumentMapChar">
    <w:name w:val="Document Map Char"/>
    <w:basedOn w:val="DefaultParagraphFont"/>
    <w:link w:val="DocumentMap"/>
    <w:uiPriority w:val="99"/>
    <w:semiHidden/>
    <w:rsid w:val="003B75D7"/>
    <w:rPr>
      <w:rFonts w:ascii="Tahoma" w:eastAsia="Times New Roman" w:hAnsi="Tahoma" w:cs="Tahoma"/>
      <w:sz w:val="16"/>
      <w:szCs w:val="16"/>
      <w:lang w:eastAsia="tr-TR"/>
    </w:rPr>
  </w:style>
  <w:style w:type="paragraph" w:styleId="BalloonText">
    <w:name w:val="Balloon Text"/>
    <w:basedOn w:val="Normal"/>
    <w:link w:val="BalloonTextChar"/>
    <w:uiPriority w:val="99"/>
    <w:semiHidden/>
    <w:unhideWhenUsed/>
    <w:rsid w:val="003B75D7"/>
    <w:rPr>
      <w:rFonts w:ascii="Tahoma" w:hAnsi="Tahoma" w:cs="Tahoma"/>
      <w:sz w:val="16"/>
      <w:szCs w:val="16"/>
    </w:rPr>
  </w:style>
  <w:style w:type="character" w:customStyle="1" w:styleId="BalloonTextChar">
    <w:name w:val="Balloon Text Char"/>
    <w:basedOn w:val="DefaultParagraphFont"/>
    <w:link w:val="BalloonText"/>
    <w:uiPriority w:val="99"/>
    <w:semiHidden/>
    <w:rsid w:val="003B75D7"/>
    <w:rPr>
      <w:rFonts w:ascii="Tahoma" w:eastAsia="Times New Roman" w:hAnsi="Tahoma" w:cs="Tahoma"/>
      <w:sz w:val="16"/>
      <w:szCs w:val="16"/>
      <w:lang w:eastAsia="tr-TR"/>
    </w:rPr>
  </w:style>
  <w:style w:type="paragraph" w:styleId="NormalWeb">
    <w:name w:val="Normal (Web)"/>
    <w:basedOn w:val="Normal"/>
    <w:uiPriority w:val="99"/>
    <w:semiHidden/>
    <w:unhideWhenUsed/>
    <w:rsid w:val="00F05D4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31111019">
      <w:bodyDiv w:val="1"/>
      <w:marLeft w:val="0"/>
      <w:marRight w:val="0"/>
      <w:marTop w:val="0"/>
      <w:marBottom w:val="0"/>
      <w:divBdr>
        <w:top w:val="none" w:sz="0" w:space="0" w:color="auto"/>
        <w:left w:val="none" w:sz="0" w:space="0" w:color="auto"/>
        <w:bottom w:val="none" w:sz="0" w:space="0" w:color="auto"/>
        <w:right w:val="none" w:sz="0" w:space="0" w:color="auto"/>
      </w:divBdr>
    </w:div>
    <w:div w:id="813909938">
      <w:bodyDiv w:val="1"/>
      <w:marLeft w:val="0"/>
      <w:marRight w:val="0"/>
      <w:marTop w:val="0"/>
      <w:marBottom w:val="0"/>
      <w:divBdr>
        <w:top w:val="none" w:sz="0" w:space="0" w:color="auto"/>
        <w:left w:val="none" w:sz="0" w:space="0" w:color="auto"/>
        <w:bottom w:val="none" w:sz="0" w:space="0" w:color="auto"/>
        <w:right w:val="none" w:sz="0" w:space="0" w:color="auto"/>
      </w:divBdr>
    </w:div>
    <w:div w:id="885530942">
      <w:bodyDiv w:val="1"/>
      <w:marLeft w:val="0"/>
      <w:marRight w:val="0"/>
      <w:marTop w:val="0"/>
      <w:marBottom w:val="0"/>
      <w:divBdr>
        <w:top w:val="none" w:sz="0" w:space="0" w:color="auto"/>
        <w:left w:val="none" w:sz="0" w:space="0" w:color="auto"/>
        <w:bottom w:val="none" w:sz="0" w:space="0" w:color="auto"/>
        <w:right w:val="none" w:sz="0" w:space="0" w:color="auto"/>
      </w:divBdr>
      <w:divsChild>
        <w:div w:id="1593079005">
          <w:marLeft w:val="547"/>
          <w:marRight w:val="0"/>
          <w:marTop w:val="134"/>
          <w:marBottom w:val="0"/>
          <w:divBdr>
            <w:top w:val="none" w:sz="0" w:space="0" w:color="auto"/>
            <w:left w:val="none" w:sz="0" w:space="0" w:color="auto"/>
            <w:bottom w:val="none" w:sz="0" w:space="0" w:color="auto"/>
            <w:right w:val="none" w:sz="0" w:space="0" w:color="auto"/>
          </w:divBdr>
        </w:div>
        <w:div w:id="1985356867">
          <w:marLeft w:val="547"/>
          <w:marRight w:val="0"/>
          <w:marTop w:val="134"/>
          <w:marBottom w:val="0"/>
          <w:divBdr>
            <w:top w:val="none" w:sz="0" w:space="0" w:color="auto"/>
            <w:left w:val="none" w:sz="0" w:space="0" w:color="auto"/>
            <w:bottom w:val="none" w:sz="0" w:space="0" w:color="auto"/>
            <w:right w:val="none" w:sz="0" w:space="0" w:color="auto"/>
          </w:divBdr>
        </w:div>
      </w:divsChild>
    </w:div>
    <w:div w:id="944506613">
      <w:bodyDiv w:val="1"/>
      <w:marLeft w:val="0"/>
      <w:marRight w:val="0"/>
      <w:marTop w:val="0"/>
      <w:marBottom w:val="0"/>
      <w:divBdr>
        <w:top w:val="none" w:sz="0" w:space="0" w:color="auto"/>
        <w:left w:val="none" w:sz="0" w:space="0" w:color="auto"/>
        <w:bottom w:val="none" w:sz="0" w:space="0" w:color="auto"/>
        <w:right w:val="none" w:sz="0" w:space="0" w:color="auto"/>
      </w:divBdr>
    </w:div>
    <w:div w:id="1478836879">
      <w:bodyDiv w:val="1"/>
      <w:marLeft w:val="0"/>
      <w:marRight w:val="0"/>
      <w:marTop w:val="0"/>
      <w:marBottom w:val="0"/>
      <w:divBdr>
        <w:top w:val="none" w:sz="0" w:space="0" w:color="auto"/>
        <w:left w:val="none" w:sz="0" w:space="0" w:color="auto"/>
        <w:bottom w:val="none" w:sz="0" w:space="0" w:color="auto"/>
        <w:right w:val="none" w:sz="0" w:space="0" w:color="auto"/>
      </w:divBdr>
    </w:div>
    <w:div w:id="1528449084">
      <w:bodyDiv w:val="1"/>
      <w:marLeft w:val="0"/>
      <w:marRight w:val="0"/>
      <w:marTop w:val="0"/>
      <w:marBottom w:val="0"/>
      <w:divBdr>
        <w:top w:val="none" w:sz="0" w:space="0" w:color="auto"/>
        <w:left w:val="none" w:sz="0" w:space="0" w:color="auto"/>
        <w:bottom w:val="none" w:sz="0" w:space="0" w:color="auto"/>
        <w:right w:val="none" w:sz="0" w:space="0" w:color="auto"/>
      </w:divBdr>
    </w:div>
    <w:div w:id="183206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4</Pages>
  <Words>661</Words>
  <Characters>3773</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Huseyin Kaya</cp:lastModifiedBy>
  <cp:revision>7</cp:revision>
  <dcterms:created xsi:type="dcterms:W3CDTF">2009-12-07T17:49:00Z</dcterms:created>
  <dcterms:modified xsi:type="dcterms:W3CDTF">2009-12-09T11:18:00Z</dcterms:modified>
</cp:coreProperties>
</file>